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1E" w:rsidRDefault="00E85B70">
      <w:pPr>
        <w:rPr>
          <w:rFonts w:ascii="Arial" w:hAnsi="Arial"/>
          <w:sz w:val="22"/>
        </w:rPr>
      </w:pPr>
      <w:r>
        <w:rPr>
          <w:noProof/>
          <w:lang w:val="en-ZA" w:eastAsia="en-ZA"/>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-457200</wp:posOffset>
                </wp:positionV>
                <wp:extent cx="7886700" cy="1062990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10629900"/>
                          <a:chOff x="291" y="357"/>
                          <a:chExt cx="12420" cy="16740"/>
                        </a:xfrm>
                      </wpg:grpSpPr>
                      <wps:wsp>
                        <wps:cNvPr id="3" name="Text Box 16"/>
                        <wps:cNvSpPr txBox="1">
                          <a:spLocks noChangeAspect="1" noChangeArrowheads="1"/>
                        </wps:cNvSpPr>
                        <wps:spPr bwMode="auto">
                          <a:xfrm>
                            <a:off x="8736" y="895"/>
                            <a:ext cx="2715" cy="1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1E" w:rsidRDefault="00E85B70">
                              <w:pPr>
                                <w:spacing w:line="220" w:lineRule="exact"/>
                                <w:jc w:val="right"/>
                                <w:rPr>
                                  <w:rFonts w:ascii="Arial" w:hAnsi="Arial"/>
                                  <w:color w:val="002E63"/>
                                  <w:sz w:val="15"/>
                                </w:rPr>
                              </w:pPr>
                              <w:r>
                                <w:rPr>
                                  <w:rFonts w:ascii="Arial" w:hAnsi="Arial"/>
                                  <w:color w:val="002E63"/>
                                  <w:sz w:val="15"/>
                                </w:rPr>
                                <w:t>5 Anerley Road, Parktown, 2193</w:t>
                              </w:r>
                            </w:p>
                            <w:p w:rsidR="0074061E" w:rsidRDefault="0074061E">
                              <w:pPr>
                                <w:spacing w:line="240" w:lineRule="exact"/>
                                <w:jc w:val="right"/>
                                <w:rPr>
                                  <w:rFonts w:ascii="Arial" w:hAnsi="Arial"/>
                                  <w:color w:val="002E63"/>
                                  <w:sz w:val="15"/>
                                </w:rPr>
                              </w:pPr>
                              <w:r>
                                <w:rPr>
                                  <w:rFonts w:ascii="Arial" w:hAnsi="Arial"/>
                                  <w:color w:val="002E63"/>
                                  <w:sz w:val="15"/>
                                </w:rPr>
                                <w:t>P O Box 875, Highlands North,</w:t>
                              </w:r>
                              <w:r w:rsidR="003C3DB1">
                                <w:rPr>
                                  <w:rFonts w:ascii="Arial" w:hAnsi="Arial"/>
                                  <w:color w:val="002E63"/>
                                  <w:sz w:val="15"/>
                                </w:rPr>
                                <w:t xml:space="preserve"> 2037</w:t>
                              </w:r>
                              <w:r>
                                <w:rPr>
                                  <w:rFonts w:ascii="Arial" w:hAnsi="Arial"/>
                                  <w:color w:val="002E63"/>
                                  <w:sz w:val="15"/>
                                </w:rPr>
                                <w:t xml:space="preserve"> </w:t>
                              </w:r>
                              <w:r w:rsidR="003C3DB1">
                                <w:rPr>
                                  <w:rFonts w:ascii="Arial" w:hAnsi="Arial"/>
                                  <w:color w:val="002E63"/>
                                  <w:sz w:val="15"/>
                                </w:rPr>
                                <w:t>T</w:t>
                              </w:r>
                              <w:r>
                                <w:rPr>
                                  <w:rFonts w:ascii="Arial" w:hAnsi="Arial"/>
                                  <w:color w:val="002E63"/>
                                  <w:sz w:val="15"/>
                                </w:rPr>
                                <w:t>elephone: +27 11 483 9700</w:t>
                              </w:r>
                            </w:p>
                            <w:p w:rsidR="0074061E" w:rsidRDefault="0074061E">
                              <w:pPr>
                                <w:jc w:val="right"/>
                                <w:rPr>
                                  <w:rFonts w:ascii="Arial" w:hAnsi="Arial"/>
                                  <w:color w:val="002E63"/>
                                  <w:sz w:val="15"/>
                                </w:rPr>
                              </w:pPr>
                              <w:r>
                                <w:rPr>
                                  <w:rFonts w:ascii="Arial" w:hAnsi="Arial"/>
                                  <w:color w:val="002E63"/>
                                  <w:sz w:val="15"/>
                                </w:rPr>
                                <w:t>Facsimile: +27 11</w:t>
                              </w:r>
                              <w:r w:rsidR="009501C3">
                                <w:rPr>
                                  <w:rFonts w:ascii="Arial" w:hAnsi="Arial"/>
                                  <w:color w:val="002E63"/>
                                  <w:sz w:val="15"/>
                                </w:rPr>
                                <w:t> </w:t>
                              </w:r>
                              <w:r>
                                <w:rPr>
                                  <w:rFonts w:ascii="Arial" w:hAnsi="Arial"/>
                                  <w:color w:val="002E63"/>
                                  <w:sz w:val="15"/>
                                </w:rPr>
                                <w:t>48</w:t>
                              </w:r>
                              <w:r w:rsidR="009501C3">
                                <w:rPr>
                                  <w:rFonts w:ascii="Arial" w:hAnsi="Arial"/>
                                  <w:color w:val="002E63"/>
                                  <w:sz w:val="15"/>
                                </w:rPr>
                                <w:t>6 2654</w:t>
                              </w:r>
                            </w:p>
                            <w:p w:rsidR="0074061E" w:rsidRDefault="0074061E">
                              <w:pPr>
                                <w:jc w:val="right"/>
                                <w:rPr>
                                  <w:rFonts w:ascii="Arial" w:hAnsi="Arial"/>
                                  <w:color w:val="002E63"/>
                                  <w:sz w:val="15"/>
                                  <w:u w:val="single"/>
                                </w:rPr>
                              </w:pPr>
                              <w:r>
                                <w:rPr>
                                  <w:rFonts w:ascii="Arial" w:hAnsi="Arial"/>
                                  <w:color w:val="002E63"/>
                                  <w:sz w:val="15"/>
                                </w:rPr>
                                <w:t xml:space="preserve">Email: </w:t>
                              </w:r>
                              <w:hyperlink r:id="rId9" w:history="1">
                                <w:r>
                                  <w:rPr>
                                    <w:rStyle w:val="Hyperlink"/>
                                    <w:rFonts w:ascii="Arial" w:hAnsi="Arial"/>
                                    <w:color w:val="002E63"/>
                                    <w:sz w:val="15"/>
                                  </w:rPr>
                                  <w:t>assess@ieb.co.za</w:t>
                                </w:r>
                              </w:hyperlink>
                            </w:p>
                            <w:p w:rsidR="0074061E" w:rsidRDefault="0074061E">
                              <w:pPr>
                                <w:jc w:val="right"/>
                                <w:rPr>
                                  <w:rFonts w:ascii="Arial" w:hAnsi="Arial"/>
                                  <w:color w:val="002E63"/>
                                  <w:sz w:val="15"/>
                                </w:rPr>
                              </w:pPr>
                              <w:r>
                                <w:rPr>
                                  <w:rFonts w:ascii="Arial" w:hAnsi="Arial"/>
                                  <w:color w:val="002E63"/>
                                  <w:sz w:val="15"/>
                                </w:rPr>
                                <w:t>Website: www.ieb.co.za</w:t>
                              </w:r>
                            </w:p>
                          </w:txbxContent>
                        </wps:txbx>
                        <wps:bodyPr rot="0" vert="horz" wrap="square" lIns="91440" tIns="45720" rIns="91440" bIns="45720" anchor="t" anchorCtr="0" upright="1">
                          <a:spAutoFit/>
                        </wps:bodyPr>
                      </wps:wsp>
                      <wps:wsp>
                        <wps:cNvPr id="4" name="Text Box 22"/>
                        <wps:cNvSpPr txBox="1">
                          <a:spLocks noChangeAspect="1" noChangeArrowheads="1"/>
                        </wps:cNvSpPr>
                        <wps:spPr bwMode="auto">
                          <a:xfrm>
                            <a:off x="441" y="15297"/>
                            <a:ext cx="1101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1E" w:rsidRDefault="0074061E">
                              <w:pPr>
                                <w:jc w:val="right"/>
                                <w:rPr>
                                  <w:rFonts w:ascii="Arial Narrow" w:hAnsi="Arial Narrow"/>
                                  <w:color w:val="002E63"/>
                                  <w:sz w:val="6"/>
                                </w:rPr>
                              </w:pPr>
                            </w:p>
                            <w:p w:rsidR="0074061E" w:rsidRDefault="0074061E">
                              <w:pPr>
                                <w:widowControl w:val="0"/>
                                <w:autoSpaceDE w:val="0"/>
                                <w:autoSpaceDN w:val="0"/>
                                <w:adjustRightInd w:val="0"/>
                                <w:spacing w:line="259" w:lineRule="exact"/>
                                <w:jc w:val="right"/>
                                <w:rPr>
                                  <w:rFonts w:ascii="Arial Narrow" w:hAnsi="Arial Narrow"/>
                                  <w:color w:val="002E63"/>
                                  <w:sz w:val="13"/>
                                </w:rPr>
                              </w:pPr>
                              <w:r>
                                <w:rPr>
                                  <w:rFonts w:ascii="Arial Narrow" w:hAnsi="Arial Narrow"/>
                                  <w:color w:val="002E63"/>
                                  <w:sz w:val="13"/>
                                </w:rPr>
                                <w:t>Directors: CA Soudien (Chairman), AK Oberholzer (CEO), JW Aitchison,</w:t>
                              </w:r>
                              <w:r w:rsidR="001571A4">
                                <w:rPr>
                                  <w:rFonts w:ascii="Arial Narrow" w:hAnsi="Arial Narrow"/>
                                  <w:color w:val="002E63"/>
                                  <w:sz w:val="13"/>
                                </w:rPr>
                                <w:t xml:space="preserve"> </w:t>
                              </w:r>
                              <w:r>
                                <w:rPr>
                                  <w:rFonts w:ascii="Arial Narrow" w:hAnsi="Arial Narrow"/>
                                  <w:color w:val="002E63"/>
                                  <w:sz w:val="13"/>
                                </w:rPr>
                                <w:t>DP Dlamini,</w:t>
                              </w:r>
                              <w:r w:rsidR="000C0067">
                                <w:rPr>
                                  <w:rFonts w:ascii="Arial Narrow" w:hAnsi="Arial Narrow"/>
                                  <w:color w:val="002E63"/>
                                  <w:sz w:val="13"/>
                                </w:rPr>
                                <w:t xml:space="preserve"> M Higa,</w:t>
                              </w:r>
                              <w:r>
                                <w:rPr>
                                  <w:rFonts w:ascii="Arial Narrow" w:hAnsi="Arial Narrow"/>
                                  <w:color w:val="002E63"/>
                                  <w:sz w:val="13"/>
                                </w:rPr>
                                <w:t xml:space="preserve"> </w:t>
                              </w:r>
                              <w:r w:rsidR="001571A4">
                                <w:rPr>
                                  <w:rFonts w:ascii="Arial Narrow" w:hAnsi="Arial Narrow"/>
                                  <w:color w:val="002E63"/>
                                  <w:sz w:val="13"/>
                                </w:rPr>
                                <w:t xml:space="preserve">PM Jackson, </w:t>
                              </w:r>
                              <w:r>
                                <w:rPr>
                                  <w:rFonts w:ascii="Arial Narrow" w:hAnsi="Arial Narrow"/>
                                  <w:color w:val="002E63"/>
                                  <w:sz w:val="13"/>
                                </w:rPr>
                                <w:t xml:space="preserve">NT Johnstone, </w:t>
                              </w:r>
                              <w:r w:rsidR="001043E7">
                                <w:rPr>
                                  <w:rFonts w:ascii="Arial Narrow" w:hAnsi="Arial Narrow"/>
                                  <w:color w:val="002E63"/>
                                  <w:sz w:val="13"/>
                                </w:rPr>
                                <w:t xml:space="preserve">K </w:t>
                              </w:r>
                              <w:proofErr w:type="spellStart"/>
                              <w:r w:rsidR="001043E7">
                                <w:rPr>
                                  <w:rFonts w:ascii="Arial Narrow" w:hAnsi="Arial Narrow"/>
                                  <w:color w:val="002E63"/>
                                  <w:sz w:val="13"/>
                                </w:rPr>
                                <w:t>König</w:t>
                              </w:r>
                              <w:proofErr w:type="spellEnd"/>
                              <w:r w:rsidR="001043E7">
                                <w:rPr>
                                  <w:rFonts w:ascii="Arial Narrow" w:hAnsi="Arial Narrow"/>
                                  <w:color w:val="002E63"/>
                                  <w:sz w:val="13"/>
                                </w:rPr>
                                <w:t xml:space="preserve">, </w:t>
                              </w:r>
                              <w:r>
                                <w:rPr>
                                  <w:rFonts w:ascii="Arial Narrow" w:hAnsi="Arial Narrow"/>
                                  <w:color w:val="002E63"/>
                                  <w:sz w:val="13"/>
                                </w:rPr>
                                <w:t xml:space="preserve">CS </w:t>
                              </w:r>
                              <w:proofErr w:type="spellStart"/>
                              <w:r>
                                <w:rPr>
                                  <w:rFonts w:ascii="Arial Narrow" w:hAnsi="Arial Narrow"/>
                                  <w:color w:val="002E63"/>
                                  <w:sz w:val="13"/>
                                </w:rPr>
                                <w:t>Mofet-Mubu</w:t>
                              </w:r>
                              <w:proofErr w:type="spellEnd"/>
                              <w:r>
                                <w:rPr>
                                  <w:rFonts w:ascii="Arial Narrow" w:hAnsi="Arial Narrow"/>
                                  <w:color w:val="002E63"/>
                                  <w:sz w:val="13"/>
                                </w:rPr>
                                <w:t>, CS Ndaba</w:t>
                              </w:r>
                            </w:p>
                            <w:p w:rsidR="0074061E" w:rsidRDefault="0074061E">
                              <w:pPr>
                                <w:jc w:val="right"/>
                                <w:rPr>
                                  <w:rFonts w:ascii="Arial Narrow" w:hAnsi="Arial Narrow"/>
                                  <w:color w:val="002E63"/>
                                  <w:sz w:val="13"/>
                                </w:rPr>
                              </w:pPr>
                              <w:r>
                                <w:rPr>
                                  <w:rFonts w:ascii="Arial Narrow" w:hAnsi="Arial Narrow"/>
                                  <w:color w:val="002E63"/>
                                  <w:sz w:val="13"/>
                                </w:rPr>
                                <w:t xml:space="preserve">M </w:t>
                              </w:r>
                              <w:proofErr w:type="spellStart"/>
                              <w:r>
                                <w:rPr>
                                  <w:rFonts w:ascii="Arial Narrow" w:hAnsi="Arial Narrow"/>
                                  <w:color w:val="002E63"/>
                                  <w:sz w:val="13"/>
                                </w:rPr>
                                <w:t>Pahad</w:t>
                              </w:r>
                              <w:proofErr w:type="spellEnd"/>
                              <w:r>
                                <w:rPr>
                                  <w:rFonts w:ascii="Arial Narrow" w:hAnsi="Arial Narrow"/>
                                  <w:color w:val="002E63"/>
                                  <w:sz w:val="13"/>
                                </w:rPr>
                                <w:t xml:space="preserve">, </w:t>
                              </w:r>
                              <w:r w:rsidR="006B132C">
                                <w:rPr>
                                  <w:rFonts w:ascii="Arial Narrow" w:hAnsi="Arial Narrow"/>
                                  <w:color w:val="002E63"/>
                                  <w:sz w:val="13"/>
                                </w:rPr>
                                <w:t xml:space="preserve">J Papier, </w:t>
                              </w:r>
                              <w:r>
                                <w:rPr>
                                  <w:rFonts w:ascii="Arial Narrow" w:hAnsi="Arial Narrow"/>
                                  <w:color w:val="002E63"/>
                                  <w:sz w:val="13"/>
                                </w:rPr>
                                <w:t xml:space="preserve">DB </w:t>
                              </w:r>
                              <w:proofErr w:type="spellStart"/>
                              <w:r>
                                <w:rPr>
                                  <w:rFonts w:ascii="Arial Narrow" w:hAnsi="Arial Narrow"/>
                                  <w:color w:val="002E63"/>
                                  <w:sz w:val="13"/>
                                </w:rPr>
                                <w:t>Wylde</w:t>
                              </w:r>
                              <w:proofErr w:type="spellEnd"/>
                              <w:r>
                                <w:rPr>
                                  <w:rFonts w:ascii="Arial Narrow" w:hAnsi="Arial Narrow"/>
                                  <w:color w:val="002E63"/>
                                  <w:sz w:val="13"/>
                                </w:rPr>
                                <w:t xml:space="preserve">, N </w:t>
                              </w:r>
                              <w:proofErr w:type="spellStart"/>
                              <w:r>
                                <w:rPr>
                                  <w:rFonts w:ascii="Arial Narrow" w:hAnsi="Arial Narrow"/>
                                  <w:color w:val="002E63"/>
                                  <w:sz w:val="13"/>
                                </w:rPr>
                                <w:t>Yeld</w:t>
                              </w:r>
                              <w:proofErr w:type="spellEnd"/>
                            </w:p>
                            <w:p w:rsidR="0074061E" w:rsidRDefault="0074061E">
                              <w:pPr>
                                <w:jc w:val="right"/>
                                <w:rPr>
                                  <w:rFonts w:ascii="Arial Narrow" w:hAnsi="Arial Narrow"/>
                                  <w:color w:val="002E63"/>
                                  <w:sz w:val="4"/>
                                </w:rPr>
                              </w:pPr>
                            </w:p>
                            <w:p w:rsidR="0074061E" w:rsidRDefault="009501C3">
                              <w:pPr>
                                <w:spacing w:before="60"/>
                                <w:jc w:val="right"/>
                                <w:rPr>
                                  <w:rFonts w:ascii="Arial Narrow" w:hAnsi="Arial Narrow"/>
                                  <w:color w:val="002E63"/>
                                  <w:sz w:val="13"/>
                                </w:rPr>
                              </w:pPr>
                              <w:r>
                                <w:rPr>
                                  <w:rFonts w:ascii="Arial Narrow" w:hAnsi="Arial Narrow"/>
                                  <w:color w:val="002E63"/>
                                  <w:sz w:val="13"/>
                                </w:rPr>
                                <w:t>Independent Examinations Board NPC</w:t>
                              </w:r>
                              <w:r w:rsidR="0074061E">
                                <w:rPr>
                                  <w:rFonts w:ascii="Arial Narrow" w:hAnsi="Arial Narrow"/>
                                  <w:color w:val="002E63"/>
                                  <w:sz w:val="13"/>
                                </w:rPr>
                                <w:t xml:space="preserve"> Reg. No.1988/003512/08</w:t>
                              </w:r>
                            </w:p>
                            <w:p w:rsidR="0074061E" w:rsidRDefault="0074061E">
                              <w:pPr>
                                <w:jc w:val="right"/>
                                <w:rPr>
                                  <w:rFonts w:ascii="Arial Narrow" w:hAnsi="Arial Narrow"/>
                                  <w:color w:val="002E63"/>
                                  <w:sz w:val="13"/>
                                </w:rPr>
                              </w:pPr>
                              <w:r>
                                <w:rPr>
                                  <w:rFonts w:ascii="Arial Narrow" w:hAnsi="Arial Narrow"/>
                                  <w:color w:val="002E63"/>
                                  <w:sz w:val="13"/>
                                </w:rPr>
                                <w:t>NPO No. 013-388</w:t>
                              </w:r>
                            </w:p>
                          </w:txbxContent>
                        </wps:txbx>
                        <wps:bodyPr rot="0" vert="horz" wrap="square" lIns="91440" tIns="45720" rIns="91440" bIns="45720" anchor="t" anchorCtr="0" upright="1">
                          <a:noAutofit/>
                        </wps:bodyPr>
                      </wps:wsp>
                      <wps:wsp>
                        <wps:cNvPr id="5" name="AutoShape 2"/>
                        <wps:cNvSpPr>
                          <a:spLocks noChangeAspect="1" noChangeArrowheads="1" noTextEdit="1"/>
                        </wps:cNvSpPr>
                        <wps:spPr bwMode="auto">
                          <a:xfrm>
                            <a:off x="291" y="357"/>
                            <a:ext cx="12420" cy="1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5pt;margin-top:-36pt;width:621pt;height:837pt;z-index:-251659264" coordorigin="291,357" coordsize="12420,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">
                <v:shapetype id="_x0000_t202" coordsize="21600,21600" o:spt="202" path="m,l,21600r21600,l21600,xe">
                  <v:stroke joinstyle="miter"/>
                  <v:path gradientshapeok="t" o:connecttype="rect"/>
                </v:shapetype>
                <v:shape id="Text Box 16" o:spid="_x0000_s1027" type="#_x0000_t202" style="position:absolute;left:8736;top:895;width:2715;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o:lock v:ext="edit" aspectratio="t"/>
                  <v:textbox style="mso-fit-shape-to-text:t">
                    <w:txbxContent>
                      <w:p w:rsidR="0074061E" w:rsidRDefault="00E85B70">
                        <w:pPr>
                          <w:spacing w:line="220" w:lineRule="exact"/>
                          <w:jc w:val="right"/>
                          <w:rPr>
                            <w:rFonts w:ascii="Arial" w:hAnsi="Arial"/>
                            <w:color w:val="002E63"/>
                            <w:sz w:val="15"/>
                          </w:rPr>
                        </w:pPr>
                        <w:r>
                          <w:rPr>
                            <w:rFonts w:ascii="Arial" w:hAnsi="Arial"/>
                            <w:color w:val="002E63"/>
                            <w:sz w:val="15"/>
                          </w:rPr>
                          <w:t xml:space="preserve">5 </w:t>
                        </w:r>
                        <w:proofErr w:type="spellStart"/>
                        <w:r>
                          <w:rPr>
                            <w:rFonts w:ascii="Arial" w:hAnsi="Arial"/>
                            <w:color w:val="002E63"/>
                            <w:sz w:val="15"/>
                          </w:rPr>
                          <w:t>Anerley</w:t>
                        </w:r>
                        <w:proofErr w:type="spellEnd"/>
                        <w:r>
                          <w:rPr>
                            <w:rFonts w:ascii="Arial" w:hAnsi="Arial"/>
                            <w:color w:val="002E63"/>
                            <w:sz w:val="15"/>
                          </w:rPr>
                          <w:t xml:space="preserve"> Road, </w:t>
                        </w:r>
                        <w:proofErr w:type="spellStart"/>
                        <w:r>
                          <w:rPr>
                            <w:rFonts w:ascii="Arial" w:hAnsi="Arial"/>
                            <w:color w:val="002E63"/>
                            <w:sz w:val="15"/>
                          </w:rPr>
                          <w:t>Parktown</w:t>
                        </w:r>
                        <w:proofErr w:type="spellEnd"/>
                        <w:r>
                          <w:rPr>
                            <w:rFonts w:ascii="Arial" w:hAnsi="Arial"/>
                            <w:color w:val="002E63"/>
                            <w:sz w:val="15"/>
                          </w:rPr>
                          <w:t>, 2193</w:t>
                        </w:r>
                      </w:p>
                      <w:p w:rsidR="0074061E" w:rsidRDefault="0074061E">
                        <w:pPr>
                          <w:spacing w:line="240" w:lineRule="exact"/>
                          <w:jc w:val="right"/>
                          <w:rPr>
                            <w:rFonts w:ascii="Arial" w:hAnsi="Arial"/>
                            <w:color w:val="002E63"/>
                            <w:sz w:val="15"/>
                          </w:rPr>
                        </w:pPr>
                        <w:r>
                          <w:rPr>
                            <w:rFonts w:ascii="Arial" w:hAnsi="Arial"/>
                            <w:color w:val="002E63"/>
                            <w:sz w:val="15"/>
                          </w:rPr>
                          <w:t>P O Box 875, Highlands North,</w:t>
                        </w:r>
                        <w:r w:rsidR="003C3DB1">
                          <w:rPr>
                            <w:rFonts w:ascii="Arial" w:hAnsi="Arial"/>
                            <w:color w:val="002E63"/>
                            <w:sz w:val="15"/>
                          </w:rPr>
                          <w:t xml:space="preserve"> 2037</w:t>
                        </w:r>
                        <w:r>
                          <w:rPr>
                            <w:rFonts w:ascii="Arial" w:hAnsi="Arial"/>
                            <w:color w:val="002E63"/>
                            <w:sz w:val="15"/>
                          </w:rPr>
                          <w:t xml:space="preserve"> </w:t>
                        </w:r>
                        <w:r w:rsidR="003C3DB1">
                          <w:rPr>
                            <w:rFonts w:ascii="Arial" w:hAnsi="Arial"/>
                            <w:color w:val="002E63"/>
                            <w:sz w:val="15"/>
                          </w:rPr>
                          <w:t>T</w:t>
                        </w:r>
                        <w:r>
                          <w:rPr>
                            <w:rFonts w:ascii="Arial" w:hAnsi="Arial"/>
                            <w:color w:val="002E63"/>
                            <w:sz w:val="15"/>
                          </w:rPr>
                          <w:t>elephone: +27 11 483 9700</w:t>
                        </w:r>
                      </w:p>
                      <w:p w:rsidR="0074061E" w:rsidRDefault="0074061E">
                        <w:pPr>
                          <w:jc w:val="right"/>
                          <w:rPr>
                            <w:rFonts w:ascii="Arial" w:hAnsi="Arial"/>
                            <w:color w:val="002E63"/>
                            <w:sz w:val="15"/>
                          </w:rPr>
                        </w:pPr>
                        <w:r>
                          <w:rPr>
                            <w:rFonts w:ascii="Arial" w:hAnsi="Arial"/>
                            <w:color w:val="002E63"/>
                            <w:sz w:val="15"/>
                          </w:rPr>
                          <w:t>Facsimile: +27 11</w:t>
                        </w:r>
                        <w:r w:rsidR="009501C3">
                          <w:rPr>
                            <w:rFonts w:ascii="Arial" w:hAnsi="Arial"/>
                            <w:color w:val="002E63"/>
                            <w:sz w:val="15"/>
                          </w:rPr>
                          <w:t> </w:t>
                        </w:r>
                        <w:r>
                          <w:rPr>
                            <w:rFonts w:ascii="Arial" w:hAnsi="Arial"/>
                            <w:color w:val="002E63"/>
                            <w:sz w:val="15"/>
                          </w:rPr>
                          <w:t>48</w:t>
                        </w:r>
                        <w:r w:rsidR="009501C3">
                          <w:rPr>
                            <w:rFonts w:ascii="Arial" w:hAnsi="Arial"/>
                            <w:color w:val="002E63"/>
                            <w:sz w:val="15"/>
                          </w:rPr>
                          <w:t>6 2654</w:t>
                        </w:r>
                      </w:p>
                      <w:p w:rsidR="0074061E" w:rsidRDefault="0074061E">
                        <w:pPr>
                          <w:jc w:val="right"/>
                          <w:rPr>
                            <w:rFonts w:ascii="Arial" w:hAnsi="Arial"/>
                            <w:color w:val="002E63"/>
                            <w:sz w:val="15"/>
                            <w:u w:val="single"/>
                          </w:rPr>
                        </w:pPr>
                        <w:r>
                          <w:rPr>
                            <w:rFonts w:ascii="Arial" w:hAnsi="Arial"/>
                            <w:color w:val="002E63"/>
                            <w:sz w:val="15"/>
                          </w:rPr>
                          <w:t xml:space="preserve">Email: </w:t>
                        </w:r>
                        <w:hyperlink r:id="rId10" w:history="1">
                          <w:r>
                            <w:rPr>
                              <w:rStyle w:val="Hyperlink"/>
                              <w:rFonts w:ascii="Arial" w:hAnsi="Arial"/>
                              <w:color w:val="002E63"/>
                              <w:sz w:val="15"/>
                            </w:rPr>
                            <w:t>assess@ieb.co.za</w:t>
                          </w:r>
                        </w:hyperlink>
                      </w:p>
                      <w:p w:rsidR="0074061E" w:rsidRDefault="0074061E">
                        <w:pPr>
                          <w:jc w:val="right"/>
                          <w:rPr>
                            <w:rFonts w:ascii="Arial" w:hAnsi="Arial"/>
                            <w:color w:val="002E63"/>
                            <w:sz w:val="15"/>
                          </w:rPr>
                        </w:pPr>
                        <w:r>
                          <w:rPr>
                            <w:rFonts w:ascii="Arial" w:hAnsi="Arial"/>
                            <w:color w:val="002E63"/>
                            <w:sz w:val="15"/>
                          </w:rPr>
                          <w:t>Website: www.ieb.co.za</w:t>
                        </w:r>
                      </w:p>
                    </w:txbxContent>
                  </v:textbox>
                </v:shape>
                <v:shape id="Text Box 22" o:spid="_x0000_s1028" type="#_x0000_t202" style="position:absolute;left:441;top:15297;width:110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o:lock v:ext="edit" aspectratio="t"/>
                  <v:textbox>
                    <w:txbxContent>
                      <w:p w:rsidR="0074061E" w:rsidRDefault="0074061E">
                        <w:pPr>
                          <w:jc w:val="right"/>
                          <w:rPr>
                            <w:rFonts w:ascii="Arial Narrow" w:hAnsi="Arial Narrow"/>
                            <w:color w:val="002E63"/>
                            <w:sz w:val="6"/>
                          </w:rPr>
                        </w:pPr>
                      </w:p>
                      <w:p w:rsidR="0074061E" w:rsidRDefault="0074061E">
                        <w:pPr>
                          <w:widowControl w:val="0"/>
                          <w:autoSpaceDE w:val="0"/>
                          <w:autoSpaceDN w:val="0"/>
                          <w:adjustRightInd w:val="0"/>
                          <w:spacing w:line="259" w:lineRule="exact"/>
                          <w:jc w:val="right"/>
                          <w:rPr>
                            <w:rFonts w:ascii="Arial Narrow" w:hAnsi="Arial Narrow"/>
                            <w:color w:val="002E63"/>
                            <w:sz w:val="13"/>
                          </w:rPr>
                        </w:pPr>
                        <w:r>
                          <w:rPr>
                            <w:rFonts w:ascii="Arial Narrow" w:hAnsi="Arial Narrow"/>
                            <w:color w:val="002E63"/>
                            <w:sz w:val="13"/>
                          </w:rPr>
                          <w:t>Directors: CA Soudien (Chairman), AK Oberholzer (CEO), JW Aitchison,</w:t>
                        </w:r>
                        <w:r w:rsidR="001571A4">
                          <w:rPr>
                            <w:rFonts w:ascii="Arial Narrow" w:hAnsi="Arial Narrow"/>
                            <w:color w:val="002E63"/>
                            <w:sz w:val="13"/>
                          </w:rPr>
                          <w:t xml:space="preserve"> </w:t>
                        </w:r>
                        <w:r>
                          <w:rPr>
                            <w:rFonts w:ascii="Arial Narrow" w:hAnsi="Arial Narrow"/>
                            <w:color w:val="002E63"/>
                            <w:sz w:val="13"/>
                          </w:rPr>
                          <w:t>DP Dlamini,</w:t>
                        </w:r>
                        <w:r w:rsidR="000C0067">
                          <w:rPr>
                            <w:rFonts w:ascii="Arial Narrow" w:hAnsi="Arial Narrow"/>
                            <w:color w:val="002E63"/>
                            <w:sz w:val="13"/>
                          </w:rPr>
                          <w:t xml:space="preserve"> M Higa,</w:t>
                        </w:r>
                        <w:r>
                          <w:rPr>
                            <w:rFonts w:ascii="Arial Narrow" w:hAnsi="Arial Narrow"/>
                            <w:color w:val="002E63"/>
                            <w:sz w:val="13"/>
                          </w:rPr>
                          <w:t xml:space="preserve"> </w:t>
                        </w:r>
                        <w:r w:rsidR="001571A4">
                          <w:rPr>
                            <w:rFonts w:ascii="Arial Narrow" w:hAnsi="Arial Narrow"/>
                            <w:color w:val="002E63"/>
                            <w:sz w:val="13"/>
                          </w:rPr>
                          <w:t xml:space="preserve">PM Jackson, </w:t>
                        </w:r>
                        <w:r>
                          <w:rPr>
                            <w:rFonts w:ascii="Arial Narrow" w:hAnsi="Arial Narrow"/>
                            <w:color w:val="002E63"/>
                            <w:sz w:val="13"/>
                          </w:rPr>
                          <w:t xml:space="preserve">NT </w:t>
                        </w:r>
                        <w:proofErr w:type="spellStart"/>
                        <w:r>
                          <w:rPr>
                            <w:rFonts w:ascii="Arial Narrow" w:hAnsi="Arial Narrow"/>
                            <w:color w:val="002E63"/>
                            <w:sz w:val="13"/>
                          </w:rPr>
                          <w:t>Johnstone</w:t>
                        </w:r>
                        <w:proofErr w:type="spellEnd"/>
                        <w:r>
                          <w:rPr>
                            <w:rFonts w:ascii="Arial Narrow" w:hAnsi="Arial Narrow"/>
                            <w:color w:val="002E63"/>
                            <w:sz w:val="13"/>
                          </w:rPr>
                          <w:t xml:space="preserve">, </w:t>
                        </w:r>
                        <w:r w:rsidR="001043E7">
                          <w:rPr>
                            <w:rFonts w:ascii="Arial Narrow" w:hAnsi="Arial Narrow"/>
                            <w:color w:val="002E63"/>
                            <w:sz w:val="13"/>
                          </w:rPr>
                          <w:t xml:space="preserve">K </w:t>
                        </w:r>
                        <w:proofErr w:type="spellStart"/>
                        <w:r w:rsidR="001043E7">
                          <w:rPr>
                            <w:rFonts w:ascii="Arial Narrow" w:hAnsi="Arial Narrow"/>
                            <w:color w:val="002E63"/>
                            <w:sz w:val="13"/>
                          </w:rPr>
                          <w:t>König</w:t>
                        </w:r>
                        <w:proofErr w:type="spellEnd"/>
                        <w:r w:rsidR="001043E7">
                          <w:rPr>
                            <w:rFonts w:ascii="Arial Narrow" w:hAnsi="Arial Narrow"/>
                            <w:color w:val="002E63"/>
                            <w:sz w:val="13"/>
                          </w:rPr>
                          <w:t xml:space="preserve">, </w:t>
                        </w:r>
                        <w:r>
                          <w:rPr>
                            <w:rFonts w:ascii="Arial Narrow" w:hAnsi="Arial Narrow"/>
                            <w:color w:val="002E63"/>
                            <w:sz w:val="13"/>
                          </w:rPr>
                          <w:t xml:space="preserve">CS </w:t>
                        </w:r>
                        <w:proofErr w:type="spellStart"/>
                        <w:r>
                          <w:rPr>
                            <w:rFonts w:ascii="Arial Narrow" w:hAnsi="Arial Narrow"/>
                            <w:color w:val="002E63"/>
                            <w:sz w:val="13"/>
                          </w:rPr>
                          <w:t>Mofet-Mubu</w:t>
                        </w:r>
                        <w:proofErr w:type="spellEnd"/>
                        <w:r>
                          <w:rPr>
                            <w:rFonts w:ascii="Arial Narrow" w:hAnsi="Arial Narrow"/>
                            <w:color w:val="002E63"/>
                            <w:sz w:val="13"/>
                          </w:rPr>
                          <w:t>, CS Ndaba</w:t>
                        </w:r>
                      </w:p>
                      <w:p w:rsidR="0074061E" w:rsidRDefault="0074061E">
                        <w:pPr>
                          <w:jc w:val="right"/>
                          <w:rPr>
                            <w:rFonts w:ascii="Arial Narrow" w:hAnsi="Arial Narrow"/>
                            <w:color w:val="002E63"/>
                            <w:sz w:val="13"/>
                          </w:rPr>
                        </w:pPr>
                        <w:r>
                          <w:rPr>
                            <w:rFonts w:ascii="Arial Narrow" w:hAnsi="Arial Narrow"/>
                            <w:color w:val="002E63"/>
                            <w:sz w:val="13"/>
                          </w:rPr>
                          <w:t xml:space="preserve">M Pahad, </w:t>
                        </w:r>
                        <w:r w:rsidR="006B132C">
                          <w:rPr>
                            <w:rFonts w:ascii="Arial Narrow" w:hAnsi="Arial Narrow"/>
                            <w:color w:val="002E63"/>
                            <w:sz w:val="13"/>
                          </w:rPr>
                          <w:t xml:space="preserve">J Papier, </w:t>
                        </w:r>
                        <w:r>
                          <w:rPr>
                            <w:rFonts w:ascii="Arial Narrow" w:hAnsi="Arial Narrow"/>
                            <w:color w:val="002E63"/>
                            <w:sz w:val="13"/>
                          </w:rPr>
                          <w:t>DB Wylde, N Yeld</w:t>
                        </w:r>
                      </w:p>
                      <w:p w:rsidR="0074061E" w:rsidRDefault="0074061E">
                        <w:pPr>
                          <w:jc w:val="right"/>
                          <w:rPr>
                            <w:rFonts w:ascii="Arial Narrow" w:hAnsi="Arial Narrow"/>
                            <w:color w:val="002E63"/>
                            <w:sz w:val="4"/>
                          </w:rPr>
                        </w:pPr>
                      </w:p>
                      <w:p w:rsidR="0074061E" w:rsidRDefault="009501C3">
                        <w:pPr>
                          <w:spacing w:before="60"/>
                          <w:jc w:val="right"/>
                          <w:rPr>
                            <w:rFonts w:ascii="Arial Narrow" w:hAnsi="Arial Narrow"/>
                            <w:color w:val="002E63"/>
                            <w:sz w:val="13"/>
                          </w:rPr>
                        </w:pPr>
                        <w:r>
                          <w:rPr>
                            <w:rFonts w:ascii="Arial Narrow" w:hAnsi="Arial Narrow"/>
                            <w:color w:val="002E63"/>
                            <w:sz w:val="13"/>
                          </w:rPr>
                          <w:t>Independent Examinations Board NPC</w:t>
                        </w:r>
                        <w:r w:rsidR="0074061E">
                          <w:rPr>
                            <w:rFonts w:ascii="Arial Narrow" w:hAnsi="Arial Narrow"/>
                            <w:color w:val="002E63"/>
                            <w:sz w:val="13"/>
                          </w:rPr>
                          <w:t xml:space="preserve"> Reg. No.1988/003512/08</w:t>
                        </w:r>
                      </w:p>
                      <w:p w:rsidR="0074061E" w:rsidRDefault="0074061E">
                        <w:pPr>
                          <w:jc w:val="right"/>
                          <w:rPr>
                            <w:rFonts w:ascii="Arial Narrow" w:hAnsi="Arial Narrow"/>
                            <w:color w:val="002E63"/>
                            <w:sz w:val="13"/>
                          </w:rPr>
                        </w:pPr>
                        <w:r>
                          <w:rPr>
                            <w:rFonts w:ascii="Arial Narrow" w:hAnsi="Arial Narrow"/>
                            <w:color w:val="002E63"/>
                            <w:sz w:val="13"/>
                          </w:rPr>
                          <w:t>NPO No. 013-388</w:t>
                        </w:r>
                      </w:p>
                    </w:txbxContent>
                  </v:textbox>
                </v:shape>
                <v:rect id="AutoShape 2" o:spid="_x0000_s1029" style="position:absolute;left:291;top:357;width:12420;height:16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group>
            </w:pict>
          </mc:Fallback>
        </mc:AlternateContent>
      </w:r>
      <w:r>
        <w:rPr>
          <w:noProof/>
          <w:lang w:val="en-ZA" w:eastAsia="en-ZA"/>
        </w:rPr>
        <w:drawing>
          <wp:anchor distT="0" distB="0" distL="114300" distR="114300" simplePos="0" relativeHeight="251658240" behindDoc="1" locked="0" layoutInCell="1" allowOverlap="1">
            <wp:simplePos x="0" y="0"/>
            <wp:positionH relativeFrom="column">
              <wp:posOffset>-571500</wp:posOffset>
            </wp:positionH>
            <wp:positionV relativeFrom="paragraph">
              <wp:posOffset>-304800</wp:posOffset>
            </wp:positionV>
            <wp:extent cx="2133600" cy="1447800"/>
            <wp:effectExtent l="0" t="0" r="0" b="0"/>
            <wp:wrapNone/>
            <wp:docPr id="2" name="Picture 44" descr="Description: IEB Full Colour spo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IEB Full Colour spot 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61E" w:rsidRDefault="0074061E">
      <w:pPr>
        <w:rPr>
          <w:rFonts w:ascii="Arial" w:hAnsi="Arial"/>
          <w:sz w:val="22"/>
        </w:rPr>
      </w:pPr>
    </w:p>
    <w:p w:rsidR="0074061E" w:rsidRDefault="0074061E">
      <w:pPr>
        <w:rPr>
          <w:rFonts w:ascii="Arial" w:hAnsi="Arial"/>
          <w:sz w:val="22"/>
        </w:rPr>
      </w:pPr>
    </w:p>
    <w:p w:rsidR="0074061E" w:rsidRDefault="0074061E">
      <w:pPr>
        <w:rPr>
          <w:rFonts w:ascii="Arial" w:hAnsi="Arial"/>
          <w:sz w:val="22"/>
        </w:rPr>
      </w:pPr>
    </w:p>
    <w:p w:rsidR="0074061E" w:rsidRDefault="0074061E">
      <w:pPr>
        <w:rPr>
          <w:rFonts w:ascii="Arial" w:hAnsi="Arial"/>
          <w:sz w:val="22"/>
        </w:rPr>
      </w:pPr>
    </w:p>
    <w:p w:rsidR="0074061E" w:rsidRDefault="0074061E">
      <w:pPr>
        <w:rPr>
          <w:rFonts w:ascii="Arial" w:hAnsi="Arial"/>
          <w:sz w:val="22"/>
        </w:rPr>
      </w:pPr>
    </w:p>
    <w:p w:rsidR="0074061E" w:rsidRDefault="0074061E">
      <w:pPr>
        <w:rPr>
          <w:rFonts w:ascii="Arial" w:hAnsi="Arial"/>
          <w:sz w:val="22"/>
        </w:rPr>
      </w:pPr>
    </w:p>
    <w:p w:rsidR="0074061E" w:rsidRDefault="0074061E">
      <w:pPr>
        <w:rPr>
          <w:rFonts w:ascii="Arial" w:hAnsi="Arial"/>
          <w:sz w:val="22"/>
        </w:rPr>
      </w:pPr>
    </w:p>
    <w:p w:rsidR="00B34268" w:rsidRPr="008F0A00" w:rsidRDefault="00B34268" w:rsidP="00B34268">
      <w:pPr>
        <w:pStyle w:val="Title"/>
      </w:pPr>
      <w:r w:rsidRPr="008F0A00">
        <w:t xml:space="preserve">PLACEMENT ASSESSMENTS </w:t>
      </w:r>
    </w:p>
    <w:p w:rsidR="00B34268" w:rsidRDefault="00B34268" w:rsidP="00B34268">
      <w:pPr>
        <w:jc w:val="center"/>
        <w:rPr>
          <w:b/>
          <w:lang w:val="en-US"/>
        </w:rPr>
      </w:pPr>
    </w:p>
    <w:p w:rsidR="00B34268" w:rsidRDefault="00B34268" w:rsidP="00B34268">
      <w:pPr>
        <w:numPr>
          <w:ilvl w:val="0"/>
          <w:numId w:val="1"/>
        </w:numPr>
        <w:rPr>
          <w:b/>
          <w:sz w:val="28"/>
          <w:lang w:val="en-US"/>
        </w:rPr>
      </w:pPr>
      <w:r>
        <w:rPr>
          <w:b/>
          <w:sz w:val="28"/>
          <w:lang w:val="en-US"/>
        </w:rPr>
        <w:t xml:space="preserve">IEB Placement Assessments </w:t>
      </w:r>
    </w:p>
    <w:p w:rsidR="00B34268" w:rsidRDefault="00B34268" w:rsidP="00B34268">
      <w:pPr>
        <w:rPr>
          <w:b/>
          <w:sz w:val="28"/>
          <w:lang w:val="en-US"/>
        </w:rPr>
      </w:pPr>
    </w:p>
    <w:p w:rsidR="00B34268" w:rsidRDefault="00B34268" w:rsidP="00B34268">
      <w:pPr>
        <w:pStyle w:val="BodyText2"/>
      </w:pPr>
      <w:r>
        <w:t xml:space="preserve">IEB offers placement assessments in Communications in English and Mathematical Literacy. Each learning area has two graded assessments: </w:t>
      </w:r>
    </w:p>
    <w:p w:rsidR="00B34268" w:rsidRDefault="00A352D4" w:rsidP="00B34268">
      <w:pPr>
        <w:numPr>
          <w:ilvl w:val="0"/>
          <w:numId w:val="2"/>
        </w:numPr>
        <w:rPr>
          <w:lang w:val="en-US"/>
        </w:rPr>
      </w:pPr>
      <w:r>
        <w:rPr>
          <w:lang w:val="en-US"/>
        </w:rPr>
        <w:t>A</w:t>
      </w:r>
      <w:r w:rsidR="00B34268">
        <w:rPr>
          <w:lang w:val="en-US"/>
        </w:rPr>
        <w:t>ET Levels 1 - 4 (NQF Level 1)</w:t>
      </w:r>
    </w:p>
    <w:p w:rsidR="00B34268" w:rsidRDefault="00B34268" w:rsidP="00B34268">
      <w:pPr>
        <w:numPr>
          <w:ilvl w:val="0"/>
          <w:numId w:val="2"/>
        </w:numPr>
        <w:rPr>
          <w:lang w:val="en-US"/>
        </w:rPr>
      </w:pPr>
      <w:r>
        <w:rPr>
          <w:lang w:val="en-US"/>
        </w:rPr>
        <w:t>NQF Levels 1 - 4</w:t>
      </w:r>
    </w:p>
    <w:p w:rsidR="00B34268" w:rsidRDefault="00B34268" w:rsidP="00B34268">
      <w:pPr>
        <w:rPr>
          <w:b/>
          <w:sz w:val="28"/>
          <w:lang w:val="en-US"/>
        </w:rPr>
      </w:pPr>
    </w:p>
    <w:p w:rsidR="00B34268" w:rsidRDefault="00B34268" w:rsidP="00B34268">
      <w:pPr>
        <w:numPr>
          <w:ilvl w:val="0"/>
          <w:numId w:val="1"/>
        </w:numPr>
        <w:rPr>
          <w:b/>
          <w:sz w:val="28"/>
          <w:lang w:val="en-US"/>
        </w:rPr>
      </w:pPr>
      <w:r>
        <w:rPr>
          <w:b/>
          <w:sz w:val="28"/>
          <w:lang w:val="en-US"/>
        </w:rPr>
        <w:t>Purpose of the placement tool</w:t>
      </w:r>
    </w:p>
    <w:p w:rsidR="00B34268" w:rsidRDefault="00B34268" w:rsidP="00B34268">
      <w:pPr>
        <w:rPr>
          <w:b/>
          <w:sz w:val="28"/>
          <w:lang w:val="en-US"/>
        </w:rPr>
      </w:pPr>
    </w:p>
    <w:p w:rsidR="00B34268" w:rsidRDefault="00B34268" w:rsidP="00B34268">
      <w:pPr>
        <w:pStyle w:val="BodyText2"/>
        <w:numPr>
          <w:ilvl w:val="0"/>
          <w:numId w:val="3"/>
        </w:numPr>
        <w:tabs>
          <w:tab w:val="left" w:pos="4253"/>
        </w:tabs>
        <w:jc w:val="both"/>
      </w:pPr>
      <w:r>
        <w:rPr>
          <w:i/>
        </w:rPr>
        <w:t>Communications in English</w:t>
      </w:r>
      <w:r>
        <w:t xml:space="preserve">: competence in the language of learning and teaching is essential for success in a learning </w:t>
      </w:r>
      <w:proofErr w:type="spellStart"/>
      <w:r>
        <w:t>programme</w:t>
      </w:r>
      <w:proofErr w:type="spellEnd"/>
      <w:r>
        <w:t xml:space="preserve">. While many </w:t>
      </w:r>
      <w:proofErr w:type="spellStart"/>
      <w:r>
        <w:t>learnership</w:t>
      </w:r>
      <w:proofErr w:type="spellEnd"/>
      <w:r>
        <w:t xml:space="preserve"> candidates are ready for training at the required level in the technical areas of a qualification, their language skills in English as the language of learning are often at a much lower level. This can cause a lot of problems in relation to dealing with learning material and acquiring new skills and knowledge in relation to unit standards. Placement results can alert the training provider to potential problems in the training process, so that necessary steps (e.g. top up training; simplification of learning materials; translation) can be taken. The tool assesses a learner’s </w:t>
      </w:r>
      <w:r>
        <w:rPr>
          <w:b/>
          <w:i/>
        </w:rPr>
        <w:t>entry readiness</w:t>
      </w:r>
      <w:r>
        <w:t xml:space="preserve"> for study and workplace train</w:t>
      </w:r>
      <w:r w:rsidR="00A352D4">
        <w:t>ing at either the required A</w:t>
      </w:r>
      <w:r>
        <w:t xml:space="preserve">ET or NQF 1 level, or NQF Levels 1, 2, 3 or 4. The tool does not assess across all the relevant standards, and does </w:t>
      </w:r>
      <w:r>
        <w:rPr>
          <w:b/>
          <w:i/>
        </w:rPr>
        <w:t>not</w:t>
      </w:r>
      <w:r>
        <w:rPr>
          <w:i/>
        </w:rPr>
        <w:t xml:space="preserve"> </w:t>
      </w:r>
      <w:r>
        <w:t xml:space="preserve">result in registered credit on the NQF.  </w:t>
      </w:r>
    </w:p>
    <w:p w:rsidR="00B34268" w:rsidRDefault="00B34268" w:rsidP="00B34268">
      <w:pPr>
        <w:pStyle w:val="BodyText2"/>
        <w:tabs>
          <w:tab w:val="left" w:pos="4253"/>
        </w:tabs>
        <w:jc w:val="both"/>
      </w:pPr>
    </w:p>
    <w:p w:rsidR="00B34268" w:rsidRDefault="00B34268" w:rsidP="00B34268">
      <w:pPr>
        <w:pStyle w:val="BodyText2"/>
        <w:numPr>
          <w:ilvl w:val="0"/>
          <w:numId w:val="3"/>
        </w:numPr>
        <w:tabs>
          <w:tab w:val="left" w:pos="4253"/>
        </w:tabs>
        <w:jc w:val="both"/>
      </w:pPr>
      <w:r>
        <w:rPr>
          <w:i/>
        </w:rPr>
        <w:t>Mathematical literacy</w:t>
      </w:r>
      <w:r>
        <w:t xml:space="preserve">: competence in </w:t>
      </w:r>
      <w:proofErr w:type="spellStart"/>
      <w:r>
        <w:t>maths</w:t>
      </w:r>
      <w:proofErr w:type="spellEnd"/>
      <w:r>
        <w:t xml:space="preserve"> literacy is often required in</w:t>
      </w:r>
      <w:r w:rsidR="00A352D4">
        <w:t xml:space="preserve"> terms of progression through A</w:t>
      </w:r>
      <w:r>
        <w:t xml:space="preserve">ET, and as a SAQA requirement for qualifications from NQF Levels 1-4. The placement assessment aims to assess learner understanding and application of key numeracy concepts in order to place learners in appropriate learning </w:t>
      </w:r>
      <w:proofErr w:type="spellStart"/>
      <w:r>
        <w:t>programmes</w:t>
      </w:r>
      <w:proofErr w:type="spellEnd"/>
      <w:r>
        <w:t xml:space="preserve"> ranging from ABET Levels 1-4 (NQF 1), or to select learners into appropriate levels for </w:t>
      </w:r>
      <w:proofErr w:type="spellStart"/>
      <w:r>
        <w:t>learnerships</w:t>
      </w:r>
      <w:proofErr w:type="spellEnd"/>
      <w:r>
        <w:t xml:space="preserve"> from NQF 1-4.  The majority of our learners are unschooled, poorly schooled or have forgotten much of what they learned at school; the assessment therefore does not focus on assessing formal mathematical knowledge, but aims to uncover information about people’s understanding of numbers and their knowledge of how to work with numbers. The tool does not assess across all the relevant standards, and does </w:t>
      </w:r>
      <w:r>
        <w:rPr>
          <w:b/>
          <w:i/>
        </w:rPr>
        <w:t>not</w:t>
      </w:r>
      <w:r>
        <w:rPr>
          <w:i/>
        </w:rPr>
        <w:t xml:space="preserve"> </w:t>
      </w:r>
      <w:r>
        <w:t xml:space="preserve">result in registered credit on the NQF. </w:t>
      </w:r>
    </w:p>
    <w:p w:rsidR="00B34268" w:rsidRDefault="00B34268" w:rsidP="00B34268">
      <w:pPr>
        <w:pStyle w:val="BodyText2"/>
        <w:jc w:val="both"/>
      </w:pPr>
      <w:r>
        <w:t xml:space="preserve"> </w:t>
      </w:r>
    </w:p>
    <w:p w:rsidR="00B34268" w:rsidRDefault="00B34268" w:rsidP="00B34268">
      <w:pPr>
        <w:pStyle w:val="BodyText2"/>
        <w:jc w:val="both"/>
      </w:pPr>
    </w:p>
    <w:p w:rsidR="00B34268" w:rsidRDefault="00B34268" w:rsidP="00B34268">
      <w:pPr>
        <w:numPr>
          <w:ilvl w:val="0"/>
          <w:numId w:val="1"/>
        </w:numPr>
        <w:jc w:val="both"/>
        <w:rPr>
          <w:b/>
          <w:sz w:val="28"/>
          <w:lang w:val="en-US"/>
        </w:rPr>
      </w:pPr>
      <w:r>
        <w:rPr>
          <w:b/>
          <w:sz w:val="28"/>
          <w:lang w:val="en-US"/>
        </w:rPr>
        <w:t xml:space="preserve">Design of the tools </w:t>
      </w:r>
    </w:p>
    <w:p w:rsidR="00B34268" w:rsidRDefault="00B34268" w:rsidP="00B34268">
      <w:pPr>
        <w:rPr>
          <w:lang w:val="en-US"/>
        </w:rPr>
      </w:pPr>
    </w:p>
    <w:p w:rsidR="00B34268" w:rsidRDefault="00B34268" w:rsidP="00B34268">
      <w:pPr>
        <w:pStyle w:val="BodyText2"/>
        <w:jc w:val="both"/>
      </w:pPr>
      <w:r>
        <w:t xml:space="preserve">Both the language and </w:t>
      </w:r>
      <w:proofErr w:type="spellStart"/>
      <w:r>
        <w:t>maths</w:t>
      </w:r>
      <w:proofErr w:type="spellEnd"/>
      <w:r>
        <w:t xml:space="preserve"> tools are graded instruments across the relevant levels. Sections are designed with increasing levels of difficulty. Learners are assessed and scored at a level for each skills area, and then a formula for an overall judgement is applied in order to determine the recommended level of placement.  </w:t>
      </w:r>
    </w:p>
    <w:p w:rsidR="00B34268" w:rsidRDefault="00B34268" w:rsidP="00B34268">
      <w:pPr>
        <w:jc w:val="both"/>
        <w:rPr>
          <w:b/>
          <w:sz w:val="28"/>
          <w:lang w:val="en-US"/>
        </w:rPr>
      </w:pPr>
      <w:r>
        <w:rPr>
          <w:b/>
          <w:sz w:val="28"/>
          <w:lang w:val="en-US"/>
        </w:rPr>
        <w:t xml:space="preserve"> </w:t>
      </w:r>
    </w:p>
    <w:p w:rsidR="00B34268" w:rsidRDefault="00B34268" w:rsidP="00B34268">
      <w:pPr>
        <w:jc w:val="center"/>
        <w:rPr>
          <w:b/>
          <w:sz w:val="28"/>
          <w:lang w:val="en-US"/>
        </w:rPr>
      </w:pPr>
      <w:r>
        <w:rPr>
          <w:b/>
          <w:sz w:val="28"/>
          <w:lang w:val="en-US"/>
        </w:rPr>
        <w:br w:type="page"/>
      </w:r>
      <w:r>
        <w:rPr>
          <w:b/>
          <w:sz w:val="28"/>
          <w:lang w:val="en-US"/>
        </w:rPr>
        <w:lastRenderedPageBreak/>
        <w:t>- 2 -</w:t>
      </w:r>
    </w:p>
    <w:p w:rsidR="00B34268" w:rsidRDefault="00B34268" w:rsidP="00B34268">
      <w:pPr>
        <w:jc w:val="center"/>
        <w:rPr>
          <w:b/>
          <w:sz w:val="28"/>
          <w:lang w:val="en-US"/>
        </w:rPr>
      </w:pPr>
    </w:p>
    <w:p w:rsidR="00B34268" w:rsidRDefault="00B34268" w:rsidP="00B34268">
      <w:pPr>
        <w:jc w:val="both"/>
        <w:rPr>
          <w:b/>
          <w:sz w:val="28"/>
          <w:lang w:val="en-US"/>
        </w:rPr>
      </w:pPr>
    </w:p>
    <w:p w:rsidR="00B34268" w:rsidRDefault="00B34268" w:rsidP="00B34268">
      <w:pPr>
        <w:numPr>
          <w:ilvl w:val="0"/>
          <w:numId w:val="1"/>
        </w:numPr>
        <w:jc w:val="both"/>
        <w:rPr>
          <w:b/>
          <w:sz w:val="28"/>
          <w:lang w:val="en-US"/>
        </w:rPr>
      </w:pPr>
      <w:r>
        <w:rPr>
          <w:b/>
          <w:sz w:val="28"/>
          <w:lang w:val="en-US"/>
        </w:rPr>
        <w:t xml:space="preserve">Reporting </w:t>
      </w:r>
    </w:p>
    <w:p w:rsidR="00B34268" w:rsidRDefault="00B34268" w:rsidP="00B34268">
      <w:pPr>
        <w:jc w:val="both"/>
        <w:rPr>
          <w:b/>
          <w:sz w:val="28"/>
          <w:lang w:val="en-US"/>
        </w:rPr>
      </w:pPr>
    </w:p>
    <w:p w:rsidR="00B34268" w:rsidRDefault="00B34268" w:rsidP="00B34268">
      <w:pPr>
        <w:pStyle w:val="BodyText"/>
      </w:pPr>
      <w:r>
        <w:t xml:space="preserve">The client will receive a report giving recommended levels for each learner. A more detailed breakdown on an individual’s strengths and weaknesses will be available at an additional fee. </w:t>
      </w:r>
    </w:p>
    <w:p w:rsidR="00B34268" w:rsidRDefault="00B34268" w:rsidP="00B34268">
      <w:pPr>
        <w:pStyle w:val="BodyText"/>
      </w:pPr>
    </w:p>
    <w:p w:rsidR="00B34268" w:rsidRDefault="00B34268" w:rsidP="00B34268">
      <w:pPr>
        <w:numPr>
          <w:ilvl w:val="0"/>
          <w:numId w:val="1"/>
        </w:numPr>
        <w:jc w:val="both"/>
        <w:rPr>
          <w:b/>
          <w:sz w:val="28"/>
          <w:lang w:val="en-US"/>
        </w:rPr>
      </w:pPr>
      <w:r>
        <w:rPr>
          <w:b/>
          <w:sz w:val="28"/>
          <w:lang w:val="en-US"/>
        </w:rPr>
        <w:t xml:space="preserve">Processes   </w:t>
      </w:r>
    </w:p>
    <w:p w:rsidR="00B34268" w:rsidRDefault="00B34268" w:rsidP="00B34268">
      <w:pPr>
        <w:pStyle w:val="BodyText2"/>
        <w:jc w:val="both"/>
      </w:pPr>
    </w:p>
    <w:p w:rsidR="00B34268" w:rsidRDefault="00B34268" w:rsidP="00B34268">
      <w:pPr>
        <w:pStyle w:val="BodyText2"/>
        <w:jc w:val="both"/>
      </w:pPr>
      <w:r>
        <w:t xml:space="preserve">Clients will receive instructions for administering the assessments along with the assessment tools, and instructions for returning the completed assessments to the IEB. There is a minimum two-week turn-around period for clients to receive results from the time the assessments are returned to the IEB. </w:t>
      </w:r>
    </w:p>
    <w:p w:rsidR="00B34268" w:rsidRDefault="00B34268" w:rsidP="00B34268">
      <w:pPr>
        <w:jc w:val="both"/>
        <w:rPr>
          <w:b/>
          <w:sz w:val="28"/>
          <w:lang w:val="en-US"/>
        </w:rPr>
      </w:pPr>
    </w:p>
    <w:p w:rsidR="00B34268" w:rsidRDefault="00B34268" w:rsidP="00B34268">
      <w:pPr>
        <w:numPr>
          <w:ilvl w:val="0"/>
          <w:numId w:val="1"/>
        </w:numPr>
        <w:jc w:val="both"/>
        <w:rPr>
          <w:b/>
          <w:sz w:val="28"/>
          <w:lang w:val="en-US"/>
        </w:rPr>
      </w:pPr>
      <w:r>
        <w:rPr>
          <w:b/>
          <w:sz w:val="28"/>
          <w:lang w:val="en-US"/>
        </w:rPr>
        <w:t xml:space="preserve">Fees </w:t>
      </w:r>
    </w:p>
    <w:p w:rsidR="00B34268" w:rsidRDefault="00B34268" w:rsidP="00B34268">
      <w:pPr>
        <w:jc w:val="both"/>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921"/>
      </w:tblGrid>
      <w:tr w:rsidR="00B34268" w:rsidRPr="00E624C7" w:rsidTr="00E4411B">
        <w:tc>
          <w:tcPr>
            <w:tcW w:w="2203" w:type="dxa"/>
            <w:shd w:val="clear" w:color="auto" w:fill="auto"/>
          </w:tcPr>
          <w:p w:rsidR="00B34268" w:rsidRPr="00E624C7" w:rsidRDefault="00B34268" w:rsidP="00E4411B">
            <w:pPr>
              <w:jc w:val="center"/>
              <w:rPr>
                <w:b/>
                <w:lang w:val="en-US"/>
              </w:rPr>
            </w:pPr>
            <w:r w:rsidRPr="00E624C7">
              <w:rPr>
                <w:b/>
                <w:lang w:val="en-US"/>
              </w:rPr>
              <w:t>Level</w:t>
            </w:r>
          </w:p>
        </w:tc>
        <w:tc>
          <w:tcPr>
            <w:tcW w:w="3921" w:type="dxa"/>
            <w:shd w:val="clear" w:color="auto" w:fill="auto"/>
          </w:tcPr>
          <w:p w:rsidR="00B34268" w:rsidRPr="00E624C7" w:rsidRDefault="00B34268" w:rsidP="00E4411B">
            <w:pPr>
              <w:jc w:val="center"/>
              <w:rPr>
                <w:b/>
                <w:lang w:val="en-US"/>
              </w:rPr>
            </w:pPr>
            <w:r w:rsidRPr="00E624C7">
              <w:rPr>
                <w:b/>
                <w:lang w:val="en-US"/>
              </w:rPr>
              <w:t>Cost of Placement</w:t>
            </w:r>
          </w:p>
        </w:tc>
      </w:tr>
      <w:tr w:rsidR="00B34268" w:rsidRPr="00E624C7" w:rsidTr="00E4411B">
        <w:tc>
          <w:tcPr>
            <w:tcW w:w="2203" w:type="dxa"/>
            <w:shd w:val="clear" w:color="auto" w:fill="auto"/>
          </w:tcPr>
          <w:p w:rsidR="00B34268" w:rsidRPr="00E624C7" w:rsidRDefault="00B34268" w:rsidP="00E4411B">
            <w:pPr>
              <w:jc w:val="both"/>
              <w:rPr>
                <w:lang w:val="en-US"/>
              </w:rPr>
            </w:pPr>
          </w:p>
          <w:p w:rsidR="00B34268" w:rsidRPr="00E624C7" w:rsidRDefault="00A352D4" w:rsidP="00E4411B">
            <w:pPr>
              <w:jc w:val="both"/>
              <w:rPr>
                <w:lang w:val="en-US"/>
              </w:rPr>
            </w:pPr>
            <w:r>
              <w:rPr>
                <w:lang w:val="en-US"/>
              </w:rPr>
              <w:t>A</w:t>
            </w:r>
            <w:r w:rsidR="00B34268" w:rsidRPr="00E624C7">
              <w:rPr>
                <w:lang w:val="en-US"/>
              </w:rPr>
              <w:t>ET Levels 1 – 4</w:t>
            </w:r>
          </w:p>
          <w:p w:rsidR="00B34268" w:rsidRPr="00E624C7" w:rsidRDefault="00B34268" w:rsidP="00E4411B">
            <w:pPr>
              <w:jc w:val="both"/>
              <w:rPr>
                <w:lang w:val="en-US"/>
              </w:rPr>
            </w:pPr>
          </w:p>
        </w:tc>
        <w:tc>
          <w:tcPr>
            <w:tcW w:w="3921" w:type="dxa"/>
            <w:shd w:val="clear" w:color="auto" w:fill="auto"/>
          </w:tcPr>
          <w:p w:rsidR="00B34268" w:rsidRPr="00E624C7" w:rsidRDefault="00B34268" w:rsidP="00E4411B">
            <w:pPr>
              <w:jc w:val="both"/>
              <w:rPr>
                <w:lang w:val="en-US"/>
              </w:rPr>
            </w:pPr>
          </w:p>
          <w:p w:rsidR="00B34268" w:rsidRPr="00E624C7" w:rsidRDefault="00675C89" w:rsidP="00E4411B">
            <w:pPr>
              <w:jc w:val="both"/>
              <w:rPr>
                <w:lang w:val="en-US"/>
              </w:rPr>
            </w:pPr>
            <w:r>
              <w:rPr>
                <w:lang w:val="en-US"/>
              </w:rPr>
              <w:t>R12</w:t>
            </w:r>
            <w:r w:rsidR="00FC5AAC">
              <w:rPr>
                <w:lang w:val="en-US"/>
              </w:rPr>
              <w:t>1</w:t>
            </w:r>
            <w:r w:rsidR="00B34268">
              <w:rPr>
                <w:lang w:val="en-US"/>
              </w:rPr>
              <w:t>.</w:t>
            </w:r>
            <w:r w:rsidR="00B34268" w:rsidRPr="00E624C7">
              <w:rPr>
                <w:lang w:val="en-US"/>
              </w:rPr>
              <w:t>00 per learner per learning area</w:t>
            </w:r>
          </w:p>
        </w:tc>
      </w:tr>
      <w:tr w:rsidR="00B34268" w:rsidRPr="00E624C7" w:rsidTr="00E4411B">
        <w:tc>
          <w:tcPr>
            <w:tcW w:w="2203" w:type="dxa"/>
            <w:shd w:val="clear" w:color="auto" w:fill="auto"/>
          </w:tcPr>
          <w:p w:rsidR="00B34268" w:rsidRPr="00E624C7" w:rsidRDefault="00B34268" w:rsidP="00E4411B">
            <w:pPr>
              <w:jc w:val="both"/>
              <w:rPr>
                <w:lang w:val="en-US"/>
              </w:rPr>
            </w:pPr>
          </w:p>
          <w:p w:rsidR="00B34268" w:rsidRPr="00E624C7" w:rsidRDefault="00B34268" w:rsidP="00E4411B">
            <w:pPr>
              <w:jc w:val="both"/>
              <w:rPr>
                <w:lang w:val="en-US"/>
              </w:rPr>
            </w:pPr>
            <w:r w:rsidRPr="00E624C7">
              <w:rPr>
                <w:lang w:val="en-US"/>
              </w:rPr>
              <w:t>NQF Levels 1 – 4</w:t>
            </w:r>
          </w:p>
          <w:p w:rsidR="00B34268" w:rsidRPr="00E624C7" w:rsidRDefault="00B34268" w:rsidP="00E4411B">
            <w:pPr>
              <w:jc w:val="both"/>
              <w:rPr>
                <w:lang w:val="en-US"/>
              </w:rPr>
            </w:pPr>
          </w:p>
        </w:tc>
        <w:tc>
          <w:tcPr>
            <w:tcW w:w="3921" w:type="dxa"/>
            <w:shd w:val="clear" w:color="auto" w:fill="auto"/>
          </w:tcPr>
          <w:p w:rsidR="00B34268" w:rsidRPr="00E624C7" w:rsidRDefault="00B34268" w:rsidP="00E4411B">
            <w:pPr>
              <w:jc w:val="both"/>
              <w:rPr>
                <w:lang w:val="en-US"/>
              </w:rPr>
            </w:pPr>
          </w:p>
          <w:p w:rsidR="00B34268" w:rsidRPr="00E624C7" w:rsidRDefault="00FC5AAC" w:rsidP="00E4411B">
            <w:pPr>
              <w:jc w:val="both"/>
              <w:rPr>
                <w:lang w:val="en-US"/>
              </w:rPr>
            </w:pPr>
            <w:r>
              <w:rPr>
                <w:lang w:val="en-US"/>
              </w:rPr>
              <w:t>R217</w:t>
            </w:r>
            <w:r w:rsidR="00B34268">
              <w:rPr>
                <w:lang w:val="en-US"/>
              </w:rPr>
              <w:t>.</w:t>
            </w:r>
            <w:r w:rsidR="00B34268" w:rsidRPr="00E624C7">
              <w:rPr>
                <w:lang w:val="en-US"/>
              </w:rPr>
              <w:t>00 per learner per learning area</w:t>
            </w:r>
          </w:p>
        </w:tc>
      </w:tr>
    </w:tbl>
    <w:p w:rsidR="00B34268" w:rsidRDefault="00B34268" w:rsidP="00B34268">
      <w:pPr>
        <w:jc w:val="both"/>
        <w:rPr>
          <w:b/>
          <w:sz w:val="28"/>
          <w:lang w:val="en-US"/>
        </w:rPr>
      </w:pPr>
    </w:p>
    <w:p w:rsidR="00B34268" w:rsidRPr="008E059B" w:rsidRDefault="00B34268" w:rsidP="00B34268">
      <w:pPr>
        <w:jc w:val="both"/>
        <w:rPr>
          <w:b/>
          <w:sz w:val="22"/>
          <w:szCs w:val="22"/>
          <w:lang w:val="en-US"/>
        </w:rPr>
      </w:pPr>
      <w:r>
        <w:rPr>
          <w:b/>
          <w:sz w:val="22"/>
          <w:szCs w:val="22"/>
          <w:lang w:val="en-US"/>
        </w:rPr>
        <w:t>The above fees include VAT</w:t>
      </w:r>
    </w:p>
    <w:p w:rsidR="00B34268" w:rsidRDefault="00B34268" w:rsidP="00B34268">
      <w:pPr>
        <w:pStyle w:val="BodyText2"/>
        <w:spacing w:before="240"/>
        <w:jc w:val="both"/>
      </w:pPr>
    </w:p>
    <w:p w:rsidR="00B34268" w:rsidRDefault="00B34268" w:rsidP="00B34268">
      <w:pPr>
        <w:pStyle w:val="BodyText2"/>
        <w:spacing w:before="240"/>
        <w:jc w:val="both"/>
      </w:pPr>
      <w:r>
        <w:t xml:space="preserve">Please DETACH and complete the order form below and send to </w:t>
      </w:r>
      <w:r w:rsidR="00573032">
        <w:rPr>
          <w:b/>
        </w:rPr>
        <w:t>Agnes Mkandla</w:t>
      </w:r>
      <w:r w:rsidR="000365C0">
        <w:rPr>
          <w:b/>
        </w:rPr>
        <w:t xml:space="preserve"> </w:t>
      </w:r>
      <w:r w:rsidR="00FC5AAC">
        <w:rPr>
          <w:b/>
        </w:rPr>
        <w:t xml:space="preserve">or </w:t>
      </w:r>
      <w:r w:rsidR="00111AF8">
        <w:rPr>
          <w:b/>
        </w:rPr>
        <w:t>Sandile Buthelezi</w:t>
      </w:r>
      <w:r w:rsidR="00FC5AAC">
        <w:rPr>
          <w:b/>
        </w:rPr>
        <w:t xml:space="preserve"> </w:t>
      </w:r>
      <w:hyperlink r:id="rId12" w:history="1">
        <w:r w:rsidR="00FC5AAC" w:rsidRPr="003157CF">
          <w:rPr>
            <w:rStyle w:val="Hyperlink"/>
          </w:rPr>
          <w:t>MkandlaA@ieb.co.za</w:t>
        </w:r>
      </w:hyperlink>
      <w:r w:rsidR="00FC5AAC">
        <w:t xml:space="preserve"> </w:t>
      </w:r>
      <w:r w:rsidR="00FC5AAC" w:rsidRPr="00FC5AAC">
        <w:t>/</w:t>
      </w:r>
      <w:r w:rsidR="00FC5AAC">
        <w:t xml:space="preserve"> </w:t>
      </w:r>
      <w:hyperlink r:id="rId13" w:history="1">
        <w:r w:rsidR="00111AF8" w:rsidRPr="00B91A62">
          <w:rPr>
            <w:rStyle w:val="Hyperlink"/>
          </w:rPr>
          <w:t>buthelezis@ieb.co.za</w:t>
        </w:r>
      </w:hyperlink>
      <w:r w:rsidR="00FC5AAC">
        <w:t xml:space="preserve"> </w:t>
      </w:r>
      <w:r>
        <w:t>; or by</w:t>
      </w:r>
      <w:r w:rsidR="00111AF8">
        <w:t xml:space="preserve"> facsimile to 086 2400 450</w:t>
      </w:r>
      <w:r>
        <w:t xml:space="preserve">. </w:t>
      </w:r>
    </w:p>
    <w:p w:rsidR="00B34268" w:rsidRPr="00E75A79" w:rsidRDefault="00B34268" w:rsidP="00B34268">
      <w:pPr>
        <w:rPr>
          <w:lang w:val="en-US"/>
        </w:rPr>
      </w:pPr>
    </w:p>
    <w:p w:rsidR="00B34268" w:rsidRPr="00E75A79" w:rsidRDefault="00B34268" w:rsidP="00B34268">
      <w:pPr>
        <w:rPr>
          <w:lang w:val="en-US"/>
        </w:rPr>
      </w:pPr>
    </w:p>
    <w:p w:rsidR="00B34268" w:rsidRPr="00E75A79" w:rsidRDefault="00B34268" w:rsidP="00B34268">
      <w:pPr>
        <w:rPr>
          <w:lang w:val="en-US"/>
        </w:rPr>
      </w:pPr>
    </w:p>
    <w:p w:rsidR="00B34268" w:rsidRDefault="00B34268" w:rsidP="00B34268">
      <w:pPr>
        <w:pStyle w:val="BodyText2"/>
        <w:jc w:val="both"/>
      </w:pPr>
    </w:p>
    <w:p w:rsidR="00B34268" w:rsidRPr="00E75A79" w:rsidRDefault="00B34268" w:rsidP="00B34268">
      <w:pPr>
        <w:tabs>
          <w:tab w:val="left" w:pos="945"/>
        </w:tabs>
        <w:rPr>
          <w:lang w:val="en-US"/>
        </w:rPr>
      </w:pPr>
      <w:r>
        <w:rPr>
          <w:lang w:val="en-US"/>
        </w:rPr>
        <w:tab/>
      </w:r>
    </w:p>
    <w:p w:rsidR="00B34268" w:rsidRDefault="00B34268" w:rsidP="00B34268">
      <w:pPr>
        <w:pStyle w:val="BodyText2"/>
        <w:jc w:val="both"/>
      </w:pPr>
    </w:p>
    <w:p w:rsidR="00B34268" w:rsidRDefault="00B34268" w:rsidP="00B34268">
      <w:pPr>
        <w:pStyle w:val="BodyText2"/>
        <w:rPr>
          <w:noProof/>
          <w:lang w:val="en-ZA" w:eastAsia="en-ZA"/>
        </w:rPr>
      </w:pPr>
      <w:r w:rsidRPr="00E75A79">
        <w:br w:type="page"/>
      </w:r>
    </w:p>
    <w:p w:rsidR="00B34268" w:rsidRDefault="00B34268" w:rsidP="00B34268">
      <w:pPr>
        <w:pStyle w:val="BodyText2"/>
      </w:pPr>
      <w:r>
        <w:rPr>
          <w:noProof/>
          <w:lang w:val="en-ZA" w:eastAsia="en-ZA"/>
        </w:rPr>
        <w:lastRenderedPageBreak/>
        <w:drawing>
          <wp:anchor distT="0" distB="0" distL="114300" distR="114300" simplePos="0" relativeHeight="251660288" behindDoc="1" locked="0" layoutInCell="1" allowOverlap="1" wp14:anchorId="4F216D36" wp14:editId="50679219">
            <wp:simplePos x="0" y="0"/>
            <wp:positionH relativeFrom="column">
              <wp:posOffset>3810</wp:posOffset>
            </wp:positionH>
            <wp:positionV relativeFrom="paragraph">
              <wp:posOffset>3810</wp:posOffset>
            </wp:positionV>
            <wp:extent cx="1866900" cy="128587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1285875"/>
                    </a:xfrm>
                    <a:prstGeom prst="rect">
                      <a:avLst/>
                    </a:prstGeom>
                    <a:noFill/>
                  </pic:spPr>
                </pic:pic>
              </a:graphicData>
            </a:graphic>
            <wp14:sizeRelH relativeFrom="page">
              <wp14:pctWidth>0</wp14:pctWidth>
            </wp14:sizeRelH>
            <wp14:sizeRelV relativeFrom="page">
              <wp14:pctHeight>0</wp14:pctHeight>
            </wp14:sizeRelV>
          </wp:anchor>
        </w:drawing>
      </w:r>
    </w:p>
    <w:p w:rsidR="00B34268" w:rsidRDefault="00B34268" w:rsidP="00B34268">
      <w:pPr>
        <w:pStyle w:val="BodyText2"/>
        <w:jc w:val="center"/>
      </w:pPr>
    </w:p>
    <w:p w:rsidR="00B34268" w:rsidRDefault="00B34268" w:rsidP="00B34268">
      <w:pPr>
        <w:pStyle w:val="BodyText2"/>
        <w:ind w:left="720" w:firstLine="720"/>
        <w:jc w:val="center"/>
        <w:rPr>
          <w:b/>
          <w:bCs/>
          <w:sz w:val="32"/>
        </w:rPr>
      </w:pPr>
    </w:p>
    <w:p w:rsidR="00B34268" w:rsidRDefault="00B34268" w:rsidP="00B34268">
      <w:pPr>
        <w:pStyle w:val="BodyText2"/>
        <w:ind w:left="720" w:firstLine="720"/>
        <w:jc w:val="center"/>
        <w:rPr>
          <w:b/>
          <w:bCs/>
          <w:sz w:val="32"/>
        </w:rPr>
      </w:pPr>
    </w:p>
    <w:p w:rsidR="00B34268" w:rsidRDefault="00B34268" w:rsidP="00B34268">
      <w:pPr>
        <w:pStyle w:val="BodyText2"/>
        <w:ind w:left="720" w:firstLine="720"/>
        <w:jc w:val="center"/>
        <w:rPr>
          <w:b/>
          <w:bCs/>
          <w:sz w:val="32"/>
        </w:rPr>
      </w:pPr>
    </w:p>
    <w:p w:rsidR="00B34268" w:rsidRDefault="00B34268" w:rsidP="00B34268">
      <w:pPr>
        <w:pStyle w:val="BodyText2"/>
        <w:ind w:left="720" w:firstLine="720"/>
        <w:jc w:val="center"/>
        <w:rPr>
          <w:b/>
          <w:bCs/>
          <w:sz w:val="32"/>
        </w:rPr>
      </w:pPr>
    </w:p>
    <w:p w:rsidR="00B34268" w:rsidRDefault="00B34268" w:rsidP="00B34268">
      <w:pPr>
        <w:pStyle w:val="BodyText2"/>
        <w:ind w:left="720" w:firstLine="720"/>
        <w:jc w:val="center"/>
        <w:rPr>
          <w:b/>
          <w:bCs/>
          <w:sz w:val="32"/>
        </w:rPr>
      </w:pPr>
      <w:r>
        <w:rPr>
          <w:b/>
          <w:bCs/>
          <w:sz w:val="32"/>
        </w:rPr>
        <w:t>Placement Assessments: Order Form</w:t>
      </w:r>
    </w:p>
    <w:p w:rsidR="00B34268" w:rsidRDefault="00B34268" w:rsidP="00B34268">
      <w:pPr>
        <w:pStyle w:val="BodyText2"/>
        <w:jc w:val="both"/>
        <w:rPr>
          <w:b/>
          <w:bCs/>
        </w:rPr>
      </w:pPr>
    </w:p>
    <w:p w:rsidR="00B34268" w:rsidRDefault="00B34268" w:rsidP="00B34268">
      <w:pPr>
        <w:pStyle w:val="BodyText2"/>
        <w:ind w:left="2880" w:hanging="2880"/>
        <w:jc w:val="both"/>
        <w:rPr>
          <w:b/>
        </w:rPr>
      </w:pPr>
      <w:r>
        <w:rPr>
          <w:b/>
        </w:rPr>
        <w:t>F</w:t>
      </w:r>
      <w:r w:rsidRPr="00B35726">
        <w:rPr>
          <w:b/>
        </w:rPr>
        <w:t xml:space="preserve">ax or e-mail to </w:t>
      </w:r>
      <w:r w:rsidR="00573032">
        <w:rPr>
          <w:b/>
        </w:rPr>
        <w:t>Agnes Mkandla</w:t>
      </w:r>
      <w:r>
        <w:rPr>
          <w:b/>
        </w:rPr>
        <w:t>/</w:t>
      </w:r>
      <w:r w:rsidR="0045372E">
        <w:rPr>
          <w:b/>
        </w:rPr>
        <w:t xml:space="preserve">Sandile Buthelezi at: </w:t>
      </w:r>
      <w:bookmarkStart w:id="0" w:name="_GoBack"/>
      <w:bookmarkEnd w:id="0"/>
      <w:r>
        <w:rPr>
          <w:b/>
        </w:rPr>
        <w:t xml:space="preserve">086 2400 </w:t>
      </w:r>
      <w:r w:rsidR="0045372E">
        <w:rPr>
          <w:b/>
        </w:rPr>
        <w:t>450</w:t>
      </w:r>
      <w:r>
        <w:rPr>
          <w:b/>
        </w:rPr>
        <w:t xml:space="preserve"> </w:t>
      </w:r>
      <w:r w:rsidRPr="00B35726">
        <w:rPr>
          <w:b/>
        </w:rPr>
        <w:t>or</w:t>
      </w:r>
      <w:r>
        <w:rPr>
          <w:b/>
        </w:rPr>
        <w:t xml:space="preserve"> </w:t>
      </w:r>
    </w:p>
    <w:p w:rsidR="0045372E" w:rsidRDefault="0045372E" w:rsidP="00B34268">
      <w:pPr>
        <w:pStyle w:val="BodyText2"/>
        <w:ind w:left="2880" w:hanging="2880"/>
        <w:jc w:val="both"/>
        <w:rPr>
          <w:b/>
        </w:rPr>
      </w:pPr>
      <w:hyperlink r:id="rId15" w:history="1">
        <w:r w:rsidR="00573032" w:rsidRPr="001B7D9A">
          <w:rPr>
            <w:rStyle w:val="Hyperlink"/>
            <w:b/>
          </w:rPr>
          <w:t>MkandlaA@ieb.co.za</w:t>
        </w:r>
      </w:hyperlink>
      <w:r w:rsidR="00B34268">
        <w:rPr>
          <w:b/>
        </w:rPr>
        <w:t xml:space="preserve"> </w:t>
      </w:r>
      <w:r w:rsidR="00FC5AAC">
        <w:rPr>
          <w:b/>
        </w:rPr>
        <w:t xml:space="preserve">/ </w:t>
      </w:r>
      <w:hyperlink r:id="rId16" w:history="1">
        <w:r w:rsidRPr="00AF46D5">
          <w:rPr>
            <w:rStyle w:val="Hyperlink"/>
            <w:b/>
          </w:rPr>
          <w:t>buthelezis@ieb.co.za</w:t>
        </w:r>
      </w:hyperlink>
      <w:r>
        <w:rPr>
          <w:b/>
        </w:rPr>
        <w:t xml:space="preserve"> </w:t>
      </w:r>
    </w:p>
    <w:p w:rsidR="00B34268" w:rsidRPr="00B35726" w:rsidRDefault="00B34268" w:rsidP="00B34268">
      <w:pPr>
        <w:pStyle w:val="BodyText2"/>
        <w:ind w:left="2880" w:hanging="2880"/>
        <w:jc w:val="both"/>
        <w:rPr>
          <w:b/>
        </w:rPr>
      </w:pPr>
      <w:r>
        <w:rPr>
          <w:b/>
        </w:rPr>
        <w:t>Where possible, please attach a list of names of the candidates to be assessed.</w:t>
      </w:r>
    </w:p>
    <w:p w:rsidR="00B34268" w:rsidRPr="00B35726" w:rsidRDefault="00B34268" w:rsidP="00B34268">
      <w:pPr>
        <w:pStyle w:val="BodyText2"/>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6564"/>
      </w:tblGrid>
      <w:tr w:rsidR="00B34268" w:rsidRPr="00B35726" w:rsidTr="00E4411B">
        <w:tc>
          <w:tcPr>
            <w:tcW w:w="3227" w:type="dxa"/>
          </w:tcPr>
          <w:p w:rsidR="00B34268" w:rsidRPr="00B35726" w:rsidRDefault="00B34268" w:rsidP="00E4411B">
            <w:pPr>
              <w:pStyle w:val="BodyText2"/>
              <w:jc w:val="both"/>
              <w:rPr>
                <w:b/>
                <w:bCs/>
                <w:sz w:val="22"/>
                <w:szCs w:val="22"/>
              </w:rPr>
            </w:pPr>
            <w:r w:rsidRPr="00B35726">
              <w:rPr>
                <w:b/>
                <w:bCs/>
                <w:sz w:val="22"/>
                <w:szCs w:val="22"/>
              </w:rPr>
              <w:t>Company/organisation:</w:t>
            </w:r>
          </w:p>
          <w:p w:rsidR="00B34268" w:rsidRPr="00B35726" w:rsidRDefault="00B34268" w:rsidP="00E4411B">
            <w:pPr>
              <w:pStyle w:val="BodyText2"/>
              <w:jc w:val="both"/>
              <w:rPr>
                <w:b/>
                <w:bCs/>
                <w:sz w:val="22"/>
                <w:szCs w:val="22"/>
              </w:rPr>
            </w:pPr>
          </w:p>
        </w:tc>
        <w:tc>
          <w:tcPr>
            <w:tcW w:w="6961" w:type="dxa"/>
          </w:tcPr>
          <w:p w:rsidR="00B34268" w:rsidRPr="00B35726" w:rsidRDefault="00B34268" w:rsidP="00E4411B">
            <w:pPr>
              <w:pStyle w:val="BodyText2"/>
              <w:jc w:val="both"/>
              <w:rPr>
                <w:sz w:val="22"/>
                <w:szCs w:val="22"/>
              </w:rPr>
            </w:pPr>
          </w:p>
        </w:tc>
      </w:tr>
      <w:tr w:rsidR="00B34268" w:rsidRPr="00B35726" w:rsidTr="00E4411B">
        <w:tc>
          <w:tcPr>
            <w:tcW w:w="3227" w:type="dxa"/>
          </w:tcPr>
          <w:p w:rsidR="00B34268" w:rsidRPr="00B35726" w:rsidRDefault="00B34268" w:rsidP="00E4411B">
            <w:pPr>
              <w:pStyle w:val="BodyText2"/>
              <w:jc w:val="both"/>
              <w:rPr>
                <w:b/>
                <w:bCs/>
                <w:sz w:val="22"/>
                <w:szCs w:val="22"/>
              </w:rPr>
            </w:pPr>
            <w:r w:rsidRPr="00B35726">
              <w:rPr>
                <w:b/>
                <w:bCs/>
                <w:sz w:val="22"/>
                <w:szCs w:val="22"/>
              </w:rPr>
              <w:t xml:space="preserve">VAT Registration Number </w:t>
            </w:r>
          </w:p>
        </w:tc>
        <w:tc>
          <w:tcPr>
            <w:tcW w:w="6961" w:type="dxa"/>
          </w:tcPr>
          <w:p w:rsidR="00B34268" w:rsidRPr="00B35726" w:rsidRDefault="00B34268" w:rsidP="00E4411B">
            <w:pPr>
              <w:pStyle w:val="BodyText2"/>
              <w:jc w:val="both"/>
              <w:rPr>
                <w:sz w:val="22"/>
                <w:szCs w:val="22"/>
              </w:rPr>
            </w:pPr>
          </w:p>
        </w:tc>
      </w:tr>
      <w:tr w:rsidR="00B34268" w:rsidRPr="00B35726" w:rsidTr="00E4411B">
        <w:trPr>
          <w:trHeight w:val="306"/>
        </w:trPr>
        <w:tc>
          <w:tcPr>
            <w:tcW w:w="3227" w:type="dxa"/>
          </w:tcPr>
          <w:p w:rsidR="00B34268" w:rsidRPr="00B35726" w:rsidRDefault="00B34268" w:rsidP="00E4411B">
            <w:pPr>
              <w:pStyle w:val="BodyText2"/>
              <w:jc w:val="both"/>
              <w:rPr>
                <w:b/>
                <w:bCs/>
                <w:sz w:val="22"/>
                <w:szCs w:val="22"/>
              </w:rPr>
            </w:pPr>
            <w:r w:rsidRPr="00B35726">
              <w:rPr>
                <w:b/>
                <w:bCs/>
                <w:sz w:val="22"/>
                <w:szCs w:val="22"/>
              </w:rPr>
              <w:t xml:space="preserve">Contact person: </w:t>
            </w:r>
          </w:p>
          <w:p w:rsidR="00B34268" w:rsidRPr="00B35726" w:rsidRDefault="00B34268" w:rsidP="00E4411B">
            <w:pPr>
              <w:pStyle w:val="BodyText2"/>
              <w:jc w:val="both"/>
              <w:rPr>
                <w:b/>
                <w:bCs/>
                <w:sz w:val="22"/>
                <w:szCs w:val="22"/>
              </w:rPr>
            </w:pPr>
          </w:p>
        </w:tc>
        <w:tc>
          <w:tcPr>
            <w:tcW w:w="6961" w:type="dxa"/>
          </w:tcPr>
          <w:p w:rsidR="00B34268" w:rsidRPr="00B35726" w:rsidRDefault="00B34268" w:rsidP="00E4411B">
            <w:pPr>
              <w:pStyle w:val="BodyText2"/>
              <w:jc w:val="both"/>
              <w:rPr>
                <w:sz w:val="22"/>
                <w:szCs w:val="22"/>
              </w:rPr>
            </w:pPr>
          </w:p>
        </w:tc>
      </w:tr>
      <w:tr w:rsidR="00B34268" w:rsidRPr="00B35726" w:rsidTr="00E4411B">
        <w:trPr>
          <w:cantSplit/>
        </w:trPr>
        <w:tc>
          <w:tcPr>
            <w:tcW w:w="3227" w:type="dxa"/>
            <w:vMerge w:val="restart"/>
          </w:tcPr>
          <w:p w:rsidR="00B34268" w:rsidRPr="00B35726" w:rsidRDefault="00B34268" w:rsidP="00E4411B">
            <w:pPr>
              <w:pStyle w:val="BodyText2"/>
              <w:jc w:val="both"/>
              <w:rPr>
                <w:b/>
                <w:bCs/>
                <w:sz w:val="22"/>
                <w:szCs w:val="22"/>
              </w:rPr>
            </w:pPr>
            <w:r w:rsidRPr="00B35726">
              <w:rPr>
                <w:b/>
                <w:bCs/>
                <w:sz w:val="22"/>
                <w:szCs w:val="22"/>
              </w:rPr>
              <w:t xml:space="preserve">Contact details: </w:t>
            </w:r>
          </w:p>
        </w:tc>
        <w:tc>
          <w:tcPr>
            <w:tcW w:w="6961" w:type="dxa"/>
          </w:tcPr>
          <w:p w:rsidR="00B34268" w:rsidRPr="00B35726" w:rsidRDefault="00B34268" w:rsidP="00E4411B">
            <w:pPr>
              <w:pStyle w:val="BodyText2"/>
              <w:jc w:val="both"/>
              <w:rPr>
                <w:sz w:val="22"/>
                <w:szCs w:val="22"/>
              </w:rPr>
            </w:pPr>
            <w:r w:rsidRPr="00B35726">
              <w:rPr>
                <w:sz w:val="22"/>
                <w:szCs w:val="22"/>
              </w:rPr>
              <w:t xml:space="preserve">Tel: </w:t>
            </w:r>
          </w:p>
        </w:tc>
      </w:tr>
      <w:tr w:rsidR="00B34268" w:rsidRPr="00B35726" w:rsidTr="00E4411B">
        <w:trPr>
          <w:cantSplit/>
        </w:trPr>
        <w:tc>
          <w:tcPr>
            <w:tcW w:w="3227" w:type="dxa"/>
            <w:vMerge/>
          </w:tcPr>
          <w:p w:rsidR="00B34268" w:rsidRPr="00B35726" w:rsidRDefault="00B34268" w:rsidP="00E4411B">
            <w:pPr>
              <w:pStyle w:val="BodyText2"/>
              <w:jc w:val="both"/>
              <w:rPr>
                <w:sz w:val="22"/>
                <w:szCs w:val="22"/>
              </w:rPr>
            </w:pPr>
          </w:p>
        </w:tc>
        <w:tc>
          <w:tcPr>
            <w:tcW w:w="6961" w:type="dxa"/>
          </w:tcPr>
          <w:p w:rsidR="00B34268" w:rsidRPr="00B35726" w:rsidRDefault="00B34268" w:rsidP="00E4411B">
            <w:pPr>
              <w:pStyle w:val="BodyText2"/>
              <w:jc w:val="both"/>
              <w:rPr>
                <w:sz w:val="22"/>
                <w:szCs w:val="22"/>
              </w:rPr>
            </w:pPr>
            <w:r w:rsidRPr="00B35726">
              <w:rPr>
                <w:sz w:val="22"/>
                <w:szCs w:val="22"/>
              </w:rPr>
              <w:t>Fax:</w:t>
            </w:r>
          </w:p>
        </w:tc>
      </w:tr>
      <w:tr w:rsidR="00B34268" w:rsidRPr="00B35726" w:rsidTr="00E4411B">
        <w:trPr>
          <w:cantSplit/>
        </w:trPr>
        <w:tc>
          <w:tcPr>
            <w:tcW w:w="3227" w:type="dxa"/>
            <w:vMerge/>
          </w:tcPr>
          <w:p w:rsidR="00B34268" w:rsidRPr="00B35726" w:rsidRDefault="00B34268" w:rsidP="00E4411B">
            <w:pPr>
              <w:pStyle w:val="BodyText2"/>
              <w:jc w:val="both"/>
              <w:rPr>
                <w:sz w:val="22"/>
                <w:szCs w:val="22"/>
              </w:rPr>
            </w:pPr>
          </w:p>
        </w:tc>
        <w:tc>
          <w:tcPr>
            <w:tcW w:w="6961" w:type="dxa"/>
          </w:tcPr>
          <w:p w:rsidR="00B34268" w:rsidRPr="00B35726" w:rsidRDefault="00B34268" w:rsidP="00E4411B">
            <w:pPr>
              <w:pStyle w:val="BodyText2"/>
              <w:jc w:val="both"/>
              <w:rPr>
                <w:sz w:val="22"/>
                <w:szCs w:val="22"/>
              </w:rPr>
            </w:pPr>
            <w:r w:rsidRPr="00B35726">
              <w:rPr>
                <w:sz w:val="22"/>
                <w:szCs w:val="22"/>
              </w:rPr>
              <w:t>e-mail:</w:t>
            </w:r>
          </w:p>
        </w:tc>
      </w:tr>
      <w:tr w:rsidR="00B34268" w:rsidRPr="00B35726" w:rsidTr="00E4411B">
        <w:tc>
          <w:tcPr>
            <w:tcW w:w="3227" w:type="dxa"/>
          </w:tcPr>
          <w:p w:rsidR="00B34268" w:rsidRPr="00B35726" w:rsidRDefault="00B34268" w:rsidP="00E4411B">
            <w:pPr>
              <w:pStyle w:val="BodyText2"/>
              <w:jc w:val="both"/>
              <w:rPr>
                <w:b/>
                <w:bCs/>
                <w:sz w:val="22"/>
                <w:szCs w:val="22"/>
              </w:rPr>
            </w:pPr>
            <w:r w:rsidRPr="00B35726">
              <w:rPr>
                <w:b/>
                <w:bCs/>
                <w:sz w:val="22"/>
                <w:szCs w:val="22"/>
              </w:rPr>
              <w:t xml:space="preserve">Physical Address for delivery of papers </w:t>
            </w:r>
          </w:p>
          <w:p w:rsidR="00B34268" w:rsidRPr="00B35726" w:rsidRDefault="00B34268" w:rsidP="00E4411B">
            <w:pPr>
              <w:pStyle w:val="BodyText2"/>
              <w:jc w:val="both"/>
              <w:rPr>
                <w:b/>
                <w:bCs/>
                <w:sz w:val="22"/>
                <w:szCs w:val="22"/>
              </w:rPr>
            </w:pPr>
          </w:p>
          <w:p w:rsidR="00B34268" w:rsidRPr="00B35726" w:rsidRDefault="00B34268" w:rsidP="00E4411B">
            <w:pPr>
              <w:pStyle w:val="BodyText2"/>
              <w:jc w:val="both"/>
              <w:rPr>
                <w:b/>
                <w:bCs/>
                <w:sz w:val="22"/>
                <w:szCs w:val="22"/>
              </w:rPr>
            </w:pPr>
          </w:p>
          <w:p w:rsidR="00B34268" w:rsidRPr="00B35726" w:rsidRDefault="00B34268" w:rsidP="00E4411B">
            <w:pPr>
              <w:pStyle w:val="BodyText2"/>
              <w:jc w:val="both"/>
              <w:rPr>
                <w:b/>
                <w:bCs/>
                <w:sz w:val="22"/>
                <w:szCs w:val="22"/>
              </w:rPr>
            </w:pPr>
          </w:p>
        </w:tc>
        <w:tc>
          <w:tcPr>
            <w:tcW w:w="6961" w:type="dxa"/>
          </w:tcPr>
          <w:p w:rsidR="00B34268" w:rsidRPr="00B35726" w:rsidRDefault="00B34268" w:rsidP="00E4411B">
            <w:pPr>
              <w:pStyle w:val="BodyText2"/>
              <w:jc w:val="both"/>
              <w:rPr>
                <w:sz w:val="22"/>
                <w:szCs w:val="22"/>
              </w:rPr>
            </w:pPr>
          </w:p>
        </w:tc>
      </w:tr>
      <w:tr w:rsidR="00B34268" w:rsidRPr="00B35726" w:rsidTr="00E4411B">
        <w:tc>
          <w:tcPr>
            <w:tcW w:w="3227" w:type="dxa"/>
          </w:tcPr>
          <w:p w:rsidR="00B34268" w:rsidRPr="00B35726" w:rsidRDefault="00B34268" w:rsidP="00E4411B">
            <w:pPr>
              <w:pStyle w:val="BodyText2"/>
              <w:jc w:val="both"/>
              <w:rPr>
                <w:b/>
                <w:bCs/>
                <w:sz w:val="22"/>
                <w:szCs w:val="22"/>
              </w:rPr>
            </w:pPr>
            <w:r w:rsidRPr="00B35726">
              <w:rPr>
                <w:b/>
                <w:bCs/>
                <w:sz w:val="22"/>
                <w:szCs w:val="22"/>
              </w:rPr>
              <w:t xml:space="preserve">Address </w:t>
            </w:r>
            <w:r>
              <w:rPr>
                <w:b/>
                <w:bCs/>
                <w:sz w:val="22"/>
                <w:szCs w:val="22"/>
              </w:rPr>
              <w:t xml:space="preserve">and person </w:t>
            </w:r>
            <w:r w:rsidRPr="00B35726">
              <w:rPr>
                <w:b/>
                <w:bCs/>
                <w:sz w:val="22"/>
                <w:szCs w:val="22"/>
              </w:rPr>
              <w:t>to which invoice should be sent</w:t>
            </w:r>
          </w:p>
        </w:tc>
        <w:tc>
          <w:tcPr>
            <w:tcW w:w="6961" w:type="dxa"/>
          </w:tcPr>
          <w:p w:rsidR="00B34268" w:rsidRPr="00B35726" w:rsidRDefault="00B34268" w:rsidP="00E4411B">
            <w:pPr>
              <w:pStyle w:val="BodyText2"/>
              <w:jc w:val="both"/>
              <w:rPr>
                <w:sz w:val="22"/>
                <w:szCs w:val="22"/>
              </w:rPr>
            </w:pPr>
          </w:p>
          <w:p w:rsidR="00B34268" w:rsidRPr="00B35726" w:rsidRDefault="00B34268" w:rsidP="00E4411B">
            <w:pPr>
              <w:pStyle w:val="BodyText2"/>
              <w:jc w:val="both"/>
              <w:rPr>
                <w:sz w:val="22"/>
                <w:szCs w:val="22"/>
              </w:rPr>
            </w:pPr>
          </w:p>
          <w:p w:rsidR="00B34268" w:rsidRPr="00B35726" w:rsidRDefault="00B34268" w:rsidP="00E4411B">
            <w:pPr>
              <w:pStyle w:val="BodyText2"/>
              <w:jc w:val="both"/>
              <w:rPr>
                <w:sz w:val="22"/>
                <w:szCs w:val="22"/>
              </w:rPr>
            </w:pPr>
          </w:p>
          <w:p w:rsidR="00B34268" w:rsidRPr="00B35726" w:rsidRDefault="00B34268" w:rsidP="00E4411B">
            <w:pPr>
              <w:pStyle w:val="BodyText2"/>
              <w:jc w:val="both"/>
              <w:rPr>
                <w:sz w:val="22"/>
                <w:szCs w:val="22"/>
              </w:rPr>
            </w:pPr>
          </w:p>
          <w:p w:rsidR="00B34268" w:rsidRPr="00B35726" w:rsidRDefault="00B34268" w:rsidP="00E4411B">
            <w:pPr>
              <w:pStyle w:val="BodyText2"/>
              <w:jc w:val="both"/>
              <w:rPr>
                <w:sz w:val="22"/>
                <w:szCs w:val="22"/>
              </w:rPr>
            </w:pPr>
          </w:p>
        </w:tc>
      </w:tr>
    </w:tbl>
    <w:p w:rsidR="00B34268" w:rsidRPr="00B35726" w:rsidRDefault="00B34268" w:rsidP="00B34268">
      <w:pPr>
        <w:pStyle w:val="BodyText2"/>
        <w:jc w:val="both"/>
        <w:rPr>
          <w:sz w:val="16"/>
          <w:szCs w:val="16"/>
        </w:rPr>
      </w:pPr>
    </w:p>
    <w:p w:rsidR="00B34268" w:rsidRPr="00B35726" w:rsidRDefault="00B34268" w:rsidP="00B34268">
      <w:pPr>
        <w:pStyle w:val="BodyText2"/>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428"/>
        <w:gridCol w:w="1643"/>
        <w:gridCol w:w="1428"/>
        <w:gridCol w:w="2010"/>
      </w:tblGrid>
      <w:tr w:rsidR="00B34268" w:rsidRPr="00B35726" w:rsidTr="00E4411B">
        <w:trPr>
          <w:cantSplit/>
        </w:trPr>
        <w:tc>
          <w:tcPr>
            <w:tcW w:w="8472" w:type="dxa"/>
            <w:gridSpan w:val="5"/>
          </w:tcPr>
          <w:p w:rsidR="00B34268" w:rsidRPr="00B35726" w:rsidRDefault="00A352D4" w:rsidP="00E4411B">
            <w:pPr>
              <w:pStyle w:val="BodyText2"/>
              <w:jc w:val="both"/>
              <w:rPr>
                <w:b/>
                <w:bCs/>
                <w:sz w:val="22"/>
                <w:szCs w:val="22"/>
              </w:rPr>
            </w:pPr>
            <w:r>
              <w:rPr>
                <w:b/>
                <w:bCs/>
                <w:sz w:val="28"/>
                <w:szCs w:val="28"/>
              </w:rPr>
              <w:t>A</w:t>
            </w:r>
            <w:r w:rsidR="00B34268" w:rsidRPr="008F0A00">
              <w:rPr>
                <w:b/>
                <w:bCs/>
                <w:sz w:val="28"/>
                <w:szCs w:val="28"/>
              </w:rPr>
              <w:t xml:space="preserve">ET Levels 1 - 4 </w:t>
            </w:r>
            <w:r w:rsidR="00B34268" w:rsidRPr="00A352D4">
              <w:rPr>
                <w:b/>
                <w:bCs/>
                <w:sz w:val="28"/>
                <w:szCs w:val="28"/>
              </w:rPr>
              <w:t>(NQF Level 1)</w:t>
            </w:r>
          </w:p>
          <w:p w:rsidR="00B34268" w:rsidRPr="00B35726" w:rsidRDefault="00B34268" w:rsidP="00E4411B">
            <w:pPr>
              <w:pStyle w:val="BodyText2"/>
              <w:jc w:val="both"/>
              <w:rPr>
                <w:b/>
                <w:bCs/>
                <w:sz w:val="22"/>
                <w:szCs w:val="22"/>
              </w:rPr>
            </w:pPr>
          </w:p>
        </w:tc>
      </w:tr>
      <w:tr w:rsidR="00B34268" w:rsidRPr="00B35726" w:rsidTr="00E4411B">
        <w:tc>
          <w:tcPr>
            <w:tcW w:w="1963" w:type="dxa"/>
          </w:tcPr>
          <w:p w:rsidR="00B34268" w:rsidRPr="00B35726" w:rsidRDefault="00B34268" w:rsidP="00E4411B">
            <w:pPr>
              <w:pStyle w:val="BodyText2"/>
              <w:jc w:val="both"/>
              <w:rPr>
                <w:b/>
                <w:sz w:val="22"/>
                <w:szCs w:val="22"/>
              </w:rPr>
            </w:pPr>
            <w:r w:rsidRPr="00B35726">
              <w:rPr>
                <w:b/>
                <w:sz w:val="22"/>
                <w:szCs w:val="22"/>
              </w:rPr>
              <w:t xml:space="preserve">Communications in English </w:t>
            </w:r>
          </w:p>
        </w:tc>
        <w:tc>
          <w:tcPr>
            <w:tcW w:w="1428" w:type="dxa"/>
          </w:tcPr>
          <w:p w:rsidR="00B34268" w:rsidRPr="00B35726" w:rsidRDefault="00B34268" w:rsidP="00E4411B">
            <w:pPr>
              <w:pStyle w:val="BodyText2"/>
              <w:jc w:val="both"/>
              <w:rPr>
                <w:b/>
                <w:sz w:val="22"/>
                <w:szCs w:val="22"/>
              </w:rPr>
            </w:pPr>
            <w:r w:rsidRPr="00B35726">
              <w:rPr>
                <w:b/>
                <w:sz w:val="22"/>
                <w:szCs w:val="22"/>
              </w:rPr>
              <w:t xml:space="preserve">Number required </w:t>
            </w:r>
          </w:p>
        </w:tc>
        <w:tc>
          <w:tcPr>
            <w:tcW w:w="1643" w:type="dxa"/>
          </w:tcPr>
          <w:p w:rsidR="00B34268" w:rsidRPr="00B35726" w:rsidRDefault="00B34268" w:rsidP="00E4411B">
            <w:pPr>
              <w:pStyle w:val="BodyText2"/>
              <w:jc w:val="both"/>
              <w:rPr>
                <w:b/>
                <w:sz w:val="22"/>
                <w:szCs w:val="22"/>
              </w:rPr>
            </w:pPr>
            <w:r w:rsidRPr="00B35726">
              <w:rPr>
                <w:b/>
                <w:sz w:val="22"/>
                <w:szCs w:val="22"/>
              </w:rPr>
              <w:t xml:space="preserve">Mathematical Literacy </w:t>
            </w:r>
          </w:p>
          <w:p w:rsidR="00B34268" w:rsidRPr="00B35726" w:rsidRDefault="00B34268" w:rsidP="00E4411B">
            <w:pPr>
              <w:pStyle w:val="BodyText2"/>
              <w:jc w:val="both"/>
              <w:rPr>
                <w:b/>
                <w:sz w:val="22"/>
                <w:szCs w:val="22"/>
              </w:rPr>
            </w:pPr>
          </w:p>
        </w:tc>
        <w:tc>
          <w:tcPr>
            <w:tcW w:w="1428" w:type="dxa"/>
          </w:tcPr>
          <w:p w:rsidR="00B34268" w:rsidRPr="00B35726" w:rsidRDefault="00B34268" w:rsidP="00E4411B">
            <w:pPr>
              <w:pStyle w:val="BodyText2"/>
              <w:jc w:val="both"/>
              <w:rPr>
                <w:b/>
                <w:sz w:val="22"/>
                <w:szCs w:val="22"/>
              </w:rPr>
            </w:pPr>
            <w:r w:rsidRPr="00B35726">
              <w:rPr>
                <w:b/>
                <w:sz w:val="22"/>
                <w:szCs w:val="22"/>
              </w:rPr>
              <w:t xml:space="preserve">Number required </w:t>
            </w:r>
          </w:p>
        </w:tc>
        <w:tc>
          <w:tcPr>
            <w:tcW w:w="2010" w:type="dxa"/>
          </w:tcPr>
          <w:p w:rsidR="00B34268" w:rsidRPr="00B35726" w:rsidRDefault="00B34268" w:rsidP="00E4411B">
            <w:pPr>
              <w:pStyle w:val="BodyText2"/>
              <w:jc w:val="both"/>
              <w:rPr>
                <w:b/>
                <w:sz w:val="22"/>
                <w:szCs w:val="22"/>
              </w:rPr>
            </w:pPr>
            <w:r w:rsidRPr="00B35726">
              <w:rPr>
                <w:b/>
                <w:sz w:val="22"/>
                <w:szCs w:val="22"/>
              </w:rPr>
              <w:t xml:space="preserve">Centre number if registered provider/ centre </w:t>
            </w:r>
          </w:p>
        </w:tc>
      </w:tr>
      <w:tr w:rsidR="00B34268" w:rsidRPr="00B35726" w:rsidTr="00E4411B">
        <w:tc>
          <w:tcPr>
            <w:tcW w:w="1963" w:type="dxa"/>
          </w:tcPr>
          <w:p w:rsidR="00B34268" w:rsidRDefault="00B34268" w:rsidP="00E4411B">
            <w:pPr>
              <w:pStyle w:val="BodyText2"/>
              <w:jc w:val="both"/>
              <w:rPr>
                <w:sz w:val="22"/>
                <w:szCs w:val="22"/>
              </w:rPr>
            </w:pPr>
          </w:p>
          <w:p w:rsidR="00B34268" w:rsidRPr="00B35726" w:rsidRDefault="00B34268" w:rsidP="00E4411B">
            <w:pPr>
              <w:pStyle w:val="BodyText2"/>
              <w:jc w:val="both"/>
              <w:rPr>
                <w:sz w:val="22"/>
                <w:szCs w:val="22"/>
              </w:rPr>
            </w:pPr>
          </w:p>
        </w:tc>
        <w:tc>
          <w:tcPr>
            <w:tcW w:w="1428" w:type="dxa"/>
          </w:tcPr>
          <w:p w:rsidR="00B34268" w:rsidRPr="00B35726" w:rsidRDefault="00B34268" w:rsidP="00E4411B">
            <w:pPr>
              <w:pStyle w:val="BodyText2"/>
              <w:jc w:val="both"/>
              <w:rPr>
                <w:sz w:val="22"/>
                <w:szCs w:val="22"/>
              </w:rPr>
            </w:pPr>
          </w:p>
        </w:tc>
        <w:tc>
          <w:tcPr>
            <w:tcW w:w="1643" w:type="dxa"/>
          </w:tcPr>
          <w:p w:rsidR="00B34268" w:rsidRPr="00B35726" w:rsidRDefault="00B34268" w:rsidP="00E4411B">
            <w:pPr>
              <w:pStyle w:val="BodyText2"/>
              <w:jc w:val="both"/>
              <w:rPr>
                <w:sz w:val="22"/>
                <w:szCs w:val="22"/>
              </w:rPr>
            </w:pPr>
          </w:p>
        </w:tc>
        <w:tc>
          <w:tcPr>
            <w:tcW w:w="1428" w:type="dxa"/>
          </w:tcPr>
          <w:p w:rsidR="00B34268" w:rsidRPr="00B35726" w:rsidRDefault="00B34268" w:rsidP="00E4411B">
            <w:pPr>
              <w:pStyle w:val="BodyText2"/>
              <w:jc w:val="both"/>
              <w:rPr>
                <w:sz w:val="22"/>
                <w:szCs w:val="22"/>
              </w:rPr>
            </w:pPr>
          </w:p>
        </w:tc>
        <w:tc>
          <w:tcPr>
            <w:tcW w:w="2010" w:type="dxa"/>
          </w:tcPr>
          <w:p w:rsidR="00B34268" w:rsidRPr="00B35726" w:rsidRDefault="00B34268" w:rsidP="00E4411B">
            <w:pPr>
              <w:pStyle w:val="BodyText2"/>
              <w:jc w:val="both"/>
              <w:rPr>
                <w:sz w:val="22"/>
                <w:szCs w:val="22"/>
              </w:rPr>
            </w:pPr>
          </w:p>
        </w:tc>
      </w:tr>
      <w:tr w:rsidR="00B34268" w:rsidRPr="00B35726" w:rsidTr="00E4411B">
        <w:trPr>
          <w:cantSplit/>
        </w:trPr>
        <w:tc>
          <w:tcPr>
            <w:tcW w:w="8472" w:type="dxa"/>
            <w:gridSpan w:val="5"/>
          </w:tcPr>
          <w:p w:rsidR="00B34268" w:rsidRPr="008F0A00" w:rsidRDefault="00B34268" w:rsidP="00E4411B">
            <w:pPr>
              <w:pStyle w:val="BodyText2"/>
              <w:rPr>
                <w:b/>
                <w:bCs/>
                <w:sz w:val="28"/>
                <w:szCs w:val="28"/>
              </w:rPr>
            </w:pPr>
            <w:r w:rsidRPr="008F0A00">
              <w:rPr>
                <w:b/>
                <w:bCs/>
                <w:sz w:val="28"/>
                <w:szCs w:val="28"/>
              </w:rPr>
              <w:t>NQF</w:t>
            </w:r>
            <w:r>
              <w:rPr>
                <w:b/>
                <w:bCs/>
                <w:sz w:val="28"/>
                <w:szCs w:val="28"/>
              </w:rPr>
              <w:t xml:space="preserve"> Levels 1</w:t>
            </w:r>
            <w:r w:rsidRPr="008F0A00">
              <w:rPr>
                <w:b/>
                <w:bCs/>
                <w:sz w:val="28"/>
                <w:szCs w:val="28"/>
              </w:rPr>
              <w:t xml:space="preserve"> - 4 </w:t>
            </w:r>
          </w:p>
          <w:p w:rsidR="00B34268" w:rsidRPr="00B35726" w:rsidRDefault="00B34268" w:rsidP="00E4411B">
            <w:pPr>
              <w:pStyle w:val="BodyText2"/>
              <w:rPr>
                <w:b/>
                <w:bCs/>
                <w:sz w:val="22"/>
                <w:szCs w:val="22"/>
              </w:rPr>
            </w:pPr>
          </w:p>
        </w:tc>
      </w:tr>
      <w:tr w:rsidR="00B34268" w:rsidRPr="00B35726" w:rsidTr="00E4411B">
        <w:tc>
          <w:tcPr>
            <w:tcW w:w="1963" w:type="dxa"/>
          </w:tcPr>
          <w:p w:rsidR="00B34268" w:rsidRPr="00B35726" w:rsidRDefault="00B34268" w:rsidP="00E4411B">
            <w:pPr>
              <w:pStyle w:val="BodyText2"/>
              <w:rPr>
                <w:b/>
                <w:sz w:val="22"/>
                <w:szCs w:val="22"/>
              </w:rPr>
            </w:pPr>
            <w:r w:rsidRPr="00B35726">
              <w:rPr>
                <w:b/>
                <w:sz w:val="22"/>
                <w:szCs w:val="22"/>
              </w:rPr>
              <w:t xml:space="preserve">Communications in English </w:t>
            </w:r>
          </w:p>
        </w:tc>
        <w:tc>
          <w:tcPr>
            <w:tcW w:w="1428" w:type="dxa"/>
          </w:tcPr>
          <w:p w:rsidR="00B34268" w:rsidRPr="00B35726" w:rsidRDefault="00B34268" w:rsidP="00E4411B">
            <w:pPr>
              <w:pStyle w:val="BodyText2"/>
              <w:rPr>
                <w:b/>
                <w:sz w:val="22"/>
                <w:szCs w:val="22"/>
              </w:rPr>
            </w:pPr>
            <w:r w:rsidRPr="00B35726">
              <w:rPr>
                <w:b/>
                <w:sz w:val="22"/>
                <w:szCs w:val="22"/>
              </w:rPr>
              <w:t xml:space="preserve">Number required </w:t>
            </w:r>
          </w:p>
        </w:tc>
        <w:tc>
          <w:tcPr>
            <w:tcW w:w="1643" w:type="dxa"/>
          </w:tcPr>
          <w:p w:rsidR="00B34268" w:rsidRPr="00B35726" w:rsidRDefault="00B34268" w:rsidP="00E4411B">
            <w:pPr>
              <w:pStyle w:val="BodyText2"/>
              <w:rPr>
                <w:b/>
                <w:sz w:val="22"/>
                <w:szCs w:val="22"/>
              </w:rPr>
            </w:pPr>
            <w:r w:rsidRPr="00B35726">
              <w:rPr>
                <w:b/>
                <w:sz w:val="22"/>
                <w:szCs w:val="22"/>
              </w:rPr>
              <w:t xml:space="preserve">Mathematical Literacy </w:t>
            </w:r>
          </w:p>
        </w:tc>
        <w:tc>
          <w:tcPr>
            <w:tcW w:w="1428" w:type="dxa"/>
          </w:tcPr>
          <w:p w:rsidR="00B34268" w:rsidRPr="00B35726" w:rsidRDefault="00B34268" w:rsidP="00E4411B">
            <w:pPr>
              <w:pStyle w:val="BodyText2"/>
              <w:rPr>
                <w:b/>
                <w:sz w:val="22"/>
                <w:szCs w:val="22"/>
              </w:rPr>
            </w:pPr>
            <w:r w:rsidRPr="00B35726">
              <w:rPr>
                <w:b/>
                <w:sz w:val="22"/>
                <w:szCs w:val="22"/>
              </w:rPr>
              <w:t xml:space="preserve">Number required </w:t>
            </w:r>
          </w:p>
        </w:tc>
        <w:tc>
          <w:tcPr>
            <w:tcW w:w="2010" w:type="dxa"/>
          </w:tcPr>
          <w:p w:rsidR="00B34268" w:rsidRPr="00B35726" w:rsidRDefault="00B34268" w:rsidP="00E4411B">
            <w:pPr>
              <w:pStyle w:val="BodyText2"/>
              <w:rPr>
                <w:b/>
                <w:sz w:val="22"/>
                <w:szCs w:val="22"/>
              </w:rPr>
            </w:pPr>
            <w:r w:rsidRPr="00B35726">
              <w:rPr>
                <w:b/>
                <w:sz w:val="22"/>
                <w:szCs w:val="22"/>
              </w:rPr>
              <w:t xml:space="preserve">Centre number if registered provider/ centre </w:t>
            </w:r>
          </w:p>
        </w:tc>
      </w:tr>
      <w:tr w:rsidR="00B34268" w:rsidRPr="00B35726" w:rsidTr="00E4411B">
        <w:tc>
          <w:tcPr>
            <w:tcW w:w="1963" w:type="dxa"/>
          </w:tcPr>
          <w:p w:rsidR="00B34268" w:rsidRDefault="00B34268" w:rsidP="00E4411B">
            <w:pPr>
              <w:pStyle w:val="BodyText2"/>
              <w:rPr>
                <w:sz w:val="22"/>
                <w:szCs w:val="22"/>
              </w:rPr>
            </w:pPr>
          </w:p>
          <w:p w:rsidR="00B34268" w:rsidRPr="00B35726" w:rsidRDefault="00B34268" w:rsidP="00E4411B">
            <w:pPr>
              <w:pStyle w:val="BodyText2"/>
              <w:rPr>
                <w:sz w:val="22"/>
                <w:szCs w:val="22"/>
              </w:rPr>
            </w:pPr>
          </w:p>
        </w:tc>
        <w:tc>
          <w:tcPr>
            <w:tcW w:w="1428" w:type="dxa"/>
          </w:tcPr>
          <w:p w:rsidR="00B34268" w:rsidRPr="00B35726" w:rsidRDefault="00B34268" w:rsidP="00E4411B">
            <w:pPr>
              <w:pStyle w:val="BodyText2"/>
              <w:rPr>
                <w:sz w:val="22"/>
                <w:szCs w:val="22"/>
              </w:rPr>
            </w:pPr>
          </w:p>
        </w:tc>
        <w:tc>
          <w:tcPr>
            <w:tcW w:w="1643" w:type="dxa"/>
          </w:tcPr>
          <w:p w:rsidR="00B34268" w:rsidRPr="00B35726" w:rsidRDefault="00B34268" w:rsidP="00E4411B">
            <w:pPr>
              <w:pStyle w:val="BodyText2"/>
              <w:rPr>
                <w:sz w:val="22"/>
                <w:szCs w:val="22"/>
              </w:rPr>
            </w:pPr>
          </w:p>
        </w:tc>
        <w:tc>
          <w:tcPr>
            <w:tcW w:w="1428" w:type="dxa"/>
          </w:tcPr>
          <w:p w:rsidR="00B34268" w:rsidRPr="00B35726" w:rsidRDefault="00B34268" w:rsidP="00E4411B">
            <w:pPr>
              <w:pStyle w:val="BodyText2"/>
              <w:rPr>
                <w:sz w:val="22"/>
                <w:szCs w:val="22"/>
              </w:rPr>
            </w:pPr>
          </w:p>
        </w:tc>
        <w:tc>
          <w:tcPr>
            <w:tcW w:w="2010" w:type="dxa"/>
          </w:tcPr>
          <w:p w:rsidR="00B34268" w:rsidRPr="00B35726" w:rsidRDefault="00B34268" w:rsidP="00E4411B">
            <w:pPr>
              <w:pStyle w:val="BodyText2"/>
              <w:rPr>
                <w:sz w:val="22"/>
                <w:szCs w:val="22"/>
              </w:rPr>
            </w:pPr>
          </w:p>
        </w:tc>
      </w:tr>
    </w:tbl>
    <w:p w:rsidR="00B34268" w:rsidRDefault="00B34268" w:rsidP="00B34268">
      <w:pPr>
        <w:ind w:left="907" w:right="624"/>
      </w:pPr>
    </w:p>
    <w:p w:rsidR="00B34268" w:rsidRDefault="00B34268" w:rsidP="00B34268">
      <w:pPr>
        <w:ind w:left="907" w:right="624" w:hanging="907"/>
        <w:rPr>
          <w:b/>
        </w:rPr>
      </w:pPr>
      <w:r w:rsidRPr="00B35726">
        <w:rPr>
          <w:b/>
        </w:rPr>
        <w:t>TERMS AND CONDITIONS</w:t>
      </w:r>
    </w:p>
    <w:p w:rsidR="00B34268" w:rsidRPr="00B35726" w:rsidRDefault="00B34268" w:rsidP="00B34268">
      <w:pPr>
        <w:numPr>
          <w:ilvl w:val="0"/>
          <w:numId w:val="4"/>
        </w:numPr>
        <w:ind w:right="624"/>
        <w:jc w:val="both"/>
        <w:rPr>
          <w:b/>
        </w:rPr>
      </w:pPr>
      <w:r>
        <w:t>An invoice will be issued once the order has been processed.  You will be liable for full payment of the account.</w:t>
      </w:r>
    </w:p>
    <w:p w:rsidR="00B34268" w:rsidRDefault="00B34268" w:rsidP="00B34268">
      <w:pPr>
        <w:numPr>
          <w:ilvl w:val="0"/>
          <w:numId w:val="4"/>
        </w:numPr>
        <w:ind w:right="624"/>
        <w:jc w:val="both"/>
      </w:pPr>
      <w:r w:rsidRPr="006D52B4">
        <w:t>Payment must be received prior to the despatch of material.</w:t>
      </w:r>
    </w:p>
    <w:p w:rsidR="00BA7A33" w:rsidRPr="006D52B4" w:rsidRDefault="00BA7A33" w:rsidP="00B34268">
      <w:pPr>
        <w:numPr>
          <w:ilvl w:val="0"/>
          <w:numId w:val="4"/>
        </w:numPr>
        <w:ind w:right="624"/>
        <w:jc w:val="both"/>
      </w:pPr>
      <w:r w:rsidRPr="00BA7A33">
        <w:t>At least 2 weeks must be allowed for the marking and resulting process.</w:t>
      </w:r>
      <w:r w:rsidRPr="006D52B4">
        <w:t xml:space="preserve"> </w:t>
      </w:r>
    </w:p>
    <w:sectPr w:rsidR="00BA7A33" w:rsidRPr="006D52B4">
      <w:pgSz w:w="11907" w:h="16840" w:code="9"/>
      <w:pgMar w:top="1077"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03" w:rsidRDefault="00142003">
      <w:r>
        <w:separator/>
      </w:r>
    </w:p>
  </w:endnote>
  <w:endnote w:type="continuationSeparator" w:id="0">
    <w:p w:rsidR="00142003" w:rsidRDefault="0014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03" w:rsidRDefault="00142003">
      <w:r>
        <w:separator/>
      </w:r>
    </w:p>
  </w:footnote>
  <w:footnote w:type="continuationSeparator" w:id="0">
    <w:p w:rsidR="00142003" w:rsidRDefault="00142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6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2A521E"/>
    <w:multiLevelType w:val="multilevel"/>
    <w:tmpl w:val="DD4C2F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65B02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BF411F1"/>
    <w:multiLevelType w:val="hybridMultilevel"/>
    <w:tmpl w:val="FEC8F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F"/>
    <w:rsid w:val="00005BAB"/>
    <w:rsid w:val="000365C0"/>
    <w:rsid w:val="000926B9"/>
    <w:rsid w:val="000C0067"/>
    <w:rsid w:val="001043E7"/>
    <w:rsid w:val="00111AF8"/>
    <w:rsid w:val="00142003"/>
    <w:rsid w:val="001571A4"/>
    <w:rsid w:val="001E4043"/>
    <w:rsid w:val="002332E3"/>
    <w:rsid w:val="003C3DB1"/>
    <w:rsid w:val="0045372E"/>
    <w:rsid w:val="004D0101"/>
    <w:rsid w:val="0051130B"/>
    <w:rsid w:val="00564FD7"/>
    <w:rsid w:val="00573032"/>
    <w:rsid w:val="005C068D"/>
    <w:rsid w:val="00632FFC"/>
    <w:rsid w:val="00647E6D"/>
    <w:rsid w:val="00660285"/>
    <w:rsid w:val="00675C89"/>
    <w:rsid w:val="006A2F35"/>
    <w:rsid w:val="006B132C"/>
    <w:rsid w:val="006D2526"/>
    <w:rsid w:val="0070762B"/>
    <w:rsid w:val="00734A90"/>
    <w:rsid w:val="0074061E"/>
    <w:rsid w:val="007E57A4"/>
    <w:rsid w:val="008315B9"/>
    <w:rsid w:val="008403FC"/>
    <w:rsid w:val="00895C03"/>
    <w:rsid w:val="008C5364"/>
    <w:rsid w:val="009329EE"/>
    <w:rsid w:val="009501C3"/>
    <w:rsid w:val="00970731"/>
    <w:rsid w:val="009C5165"/>
    <w:rsid w:val="00A1062F"/>
    <w:rsid w:val="00A352D4"/>
    <w:rsid w:val="00A359DF"/>
    <w:rsid w:val="00AA511C"/>
    <w:rsid w:val="00B34268"/>
    <w:rsid w:val="00B610AF"/>
    <w:rsid w:val="00BA7A33"/>
    <w:rsid w:val="00C30F63"/>
    <w:rsid w:val="00C35793"/>
    <w:rsid w:val="00D37371"/>
    <w:rsid w:val="00E85B70"/>
    <w:rsid w:val="00FC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4268"/>
    <w:pPr>
      <w:jc w:val="both"/>
    </w:pPr>
    <w:rPr>
      <w:szCs w:val="20"/>
      <w:lang w:val="en-US" w:eastAsia="en-US"/>
    </w:rPr>
  </w:style>
  <w:style w:type="character" w:customStyle="1" w:styleId="BodyTextChar">
    <w:name w:val="Body Text Char"/>
    <w:basedOn w:val="DefaultParagraphFont"/>
    <w:link w:val="BodyText"/>
    <w:rsid w:val="00B34268"/>
    <w:rPr>
      <w:szCs w:val="20"/>
      <w:lang w:val="en-US" w:eastAsia="en-US"/>
    </w:rPr>
  </w:style>
  <w:style w:type="paragraph" w:styleId="BodyText2">
    <w:name w:val="Body Text 2"/>
    <w:basedOn w:val="Normal"/>
    <w:link w:val="BodyText2Char"/>
    <w:rsid w:val="00B34268"/>
    <w:rPr>
      <w:szCs w:val="20"/>
      <w:lang w:val="en-US" w:eastAsia="en-US"/>
    </w:rPr>
  </w:style>
  <w:style w:type="character" w:customStyle="1" w:styleId="BodyText2Char">
    <w:name w:val="Body Text 2 Char"/>
    <w:basedOn w:val="DefaultParagraphFont"/>
    <w:link w:val="BodyText2"/>
    <w:rsid w:val="00B34268"/>
    <w:rPr>
      <w:szCs w:val="20"/>
      <w:lang w:val="en-US" w:eastAsia="en-US"/>
    </w:rPr>
  </w:style>
  <w:style w:type="paragraph" w:styleId="Title">
    <w:name w:val="Title"/>
    <w:basedOn w:val="Normal"/>
    <w:link w:val="TitleChar"/>
    <w:qFormat/>
    <w:rsid w:val="00B34268"/>
    <w:pPr>
      <w:jc w:val="center"/>
    </w:pPr>
    <w:rPr>
      <w:b/>
      <w:sz w:val="28"/>
      <w:szCs w:val="20"/>
      <w:lang w:val="en-US" w:eastAsia="en-US"/>
    </w:rPr>
  </w:style>
  <w:style w:type="character" w:customStyle="1" w:styleId="TitleChar">
    <w:name w:val="Title Char"/>
    <w:basedOn w:val="DefaultParagraphFont"/>
    <w:link w:val="Title"/>
    <w:rsid w:val="00B34268"/>
    <w:rPr>
      <w:b/>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4268"/>
    <w:pPr>
      <w:jc w:val="both"/>
    </w:pPr>
    <w:rPr>
      <w:szCs w:val="20"/>
      <w:lang w:val="en-US" w:eastAsia="en-US"/>
    </w:rPr>
  </w:style>
  <w:style w:type="character" w:customStyle="1" w:styleId="BodyTextChar">
    <w:name w:val="Body Text Char"/>
    <w:basedOn w:val="DefaultParagraphFont"/>
    <w:link w:val="BodyText"/>
    <w:rsid w:val="00B34268"/>
    <w:rPr>
      <w:szCs w:val="20"/>
      <w:lang w:val="en-US" w:eastAsia="en-US"/>
    </w:rPr>
  </w:style>
  <w:style w:type="paragraph" w:styleId="BodyText2">
    <w:name w:val="Body Text 2"/>
    <w:basedOn w:val="Normal"/>
    <w:link w:val="BodyText2Char"/>
    <w:rsid w:val="00B34268"/>
    <w:rPr>
      <w:szCs w:val="20"/>
      <w:lang w:val="en-US" w:eastAsia="en-US"/>
    </w:rPr>
  </w:style>
  <w:style w:type="character" w:customStyle="1" w:styleId="BodyText2Char">
    <w:name w:val="Body Text 2 Char"/>
    <w:basedOn w:val="DefaultParagraphFont"/>
    <w:link w:val="BodyText2"/>
    <w:rsid w:val="00B34268"/>
    <w:rPr>
      <w:szCs w:val="20"/>
      <w:lang w:val="en-US" w:eastAsia="en-US"/>
    </w:rPr>
  </w:style>
  <w:style w:type="paragraph" w:styleId="Title">
    <w:name w:val="Title"/>
    <w:basedOn w:val="Normal"/>
    <w:link w:val="TitleChar"/>
    <w:qFormat/>
    <w:rsid w:val="00B34268"/>
    <w:pPr>
      <w:jc w:val="center"/>
    </w:pPr>
    <w:rPr>
      <w:b/>
      <w:sz w:val="28"/>
      <w:szCs w:val="20"/>
      <w:lang w:val="en-US" w:eastAsia="en-US"/>
    </w:rPr>
  </w:style>
  <w:style w:type="character" w:customStyle="1" w:styleId="TitleChar">
    <w:name w:val="Title Char"/>
    <w:basedOn w:val="DefaultParagraphFont"/>
    <w:link w:val="Title"/>
    <w:rsid w:val="00B34268"/>
    <w:rPr>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thelezis@ieb.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andlaA@ieb.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thelezis@ieb.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MkandlaA@ieb.co.za" TargetMode="External"/><Relationship Id="rId10" Type="http://schemas.openxmlformats.org/officeDocument/2006/relationships/hyperlink" Target="mailto:assess@ieb.co.za" TargetMode="External"/><Relationship Id="rId4" Type="http://schemas.microsoft.com/office/2007/relationships/stylesWithEffects" Target="stylesWithEffects.xml"/><Relationship Id="rId9" Type="http://schemas.openxmlformats.org/officeDocument/2006/relationships/hyperlink" Target="mailto:assess@ieb.co.z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79B8-D90F-47AB-8F00-939270B1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DESTIQUE</Company>
  <LinksUpToDate>false</LinksUpToDate>
  <CharactersWithSpaces>4597</CharactersWithSpaces>
  <SharedDoc>false</SharedDoc>
  <HLinks>
    <vt:vector size="6" baseType="variant">
      <vt:variant>
        <vt:i4>1900649</vt:i4>
      </vt:variant>
      <vt:variant>
        <vt:i4>0</vt:i4>
      </vt:variant>
      <vt:variant>
        <vt:i4>0</vt:i4>
      </vt:variant>
      <vt:variant>
        <vt:i4>5</vt:i4>
      </vt:variant>
      <vt:variant>
        <vt:lpwstr>mailto:assess@ieb.co.za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Wyngaard</dc:creator>
  <cp:lastModifiedBy>Sandile Buthelezi</cp:lastModifiedBy>
  <cp:revision>10</cp:revision>
  <cp:lastPrinted>2014-02-17T11:54:00Z</cp:lastPrinted>
  <dcterms:created xsi:type="dcterms:W3CDTF">2016-03-07T06:23:00Z</dcterms:created>
  <dcterms:modified xsi:type="dcterms:W3CDTF">2018-05-02T09:50:00Z</dcterms:modified>
</cp:coreProperties>
</file>